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AE04E5" w14:textId="31883942" w:rsidR="00511BED" w:rsidRPr="00C46092" w:rsidRDefault="00511BED" w:rsidP="00D83FF4">
      <w:pPr>
        <w:jc w:val="center"/>
        <w:rPr>
          <w:rFonts w:ascii="Times New Roman" w:hAnsi="Times New Roman" w:cs="Times New Roman"/>
          <w:b/>
          <w:bCs/>
        </w:rPr>
      </w:pPr>
      <w:r w:rsidRPr="00C46092">
        <w:rPr>
          <w:rFonts w:ascii="Times New Roman" w:hAnsi="Times New Roman" w:cs="Times New Roman"/>
          <w:b/>
          <w:bCs/>
        </w:rPr>
        <w:t>“</w:t>
      </w:r>
      <w:r w:rsidR="00D44B3B" w:rsidRPr="00C46092">
        <w:rPr>
          <w:rFonts w:ascii="Times New Roman" w:hAnsi="Times New Roman" w:cs="Times New Roman"/>
          <w:b/>
          <w:bCs/>
        </w:rPr>
        <w:t xml:space="preserve">EU State aid control: </w:t>
      </w:r>
      <w:r w:rsidRPr="00C46092">
        <w:rPr>
          <w:rFonts w:ascii="Times New Roman" w:hAnsi="Times New Roman" w:cs="Times New Roman"/>
          <w:b/>
          <w:bCs/>
        </w:rPr>
        <w:t>A conflicted system”</w:t>
      </w:r>
    </w:p>
    <w:p w14:paraId="22224B50" w14:textId="77777777" w:rsidR="00511BED" w:rsidRPr="00C46092" w:rsidRDefault="00511BED" w:rsidP="00D83FF4">
      <w:pPr>
        <w:jc w:val="center"/>
        <w:rPr>
          <w:rFonts w:ascii="Times New Roman" w:hAnsi="Times New Roman" w:cs="Times New Roman"/>
          <w:b/>
          <w:bCs/>
        </w:rPr>
      </w:pPr>
    </w:p>
    <w:p w14:paraId="3FD03F51" w14:textId="382BD974" w:rsidR="00D44B3B" w:rsidRPr="00C46092" w:rsidRDefault="00D44B3B" w:rsidP="00D83FF4">
      <w:pPr>
        <w:jc w:val="center"/>
        <w:rPr>
          <w:rFonts w:ascii="Times New Roman" w:hAnsi="Times New Roman" w:cs="Times New Roman"/>
          <w:b/>
          <w:bCs/>
        </w:rPr>
      </w:pPr>
      <w:r w:rsidRPr="00C46092">
        <w:rPr>
          <w:rFonts w:ascii="Times New Roman" w:hAnsi="Times New Roman" w:cs="Times New Roman"/>
          <w:b/>
          <w:bCs/>
        </w:rPr>
        <w:t>Luca Rubini</w:t>
      </w:r>
    </w:p>
    <w:p w14:paraId="3B16DE7C" w14:textId="77777777" w:rsidR="001732D3" w:rsidRDefault="001732D3" w:rsidP="00D83FF4">
      <w:pPr>
        <w:jc w:val="both"/>
        <w:rPr>
          <w:rFonts w:ascii="Times New Roman" w:hAnsi="Times New Roman" w:cs="Times New Roman"/>
        </w:rPr>
      </w:pPr>
    </w:p>
    <w:p w14:paraId="2DA55C5B" w14:textId="6B946085" w:rsidR="005B79F7" w:rsidRPr="005B79F7" w:rsidRDefault="005B79F7" w:rsidP="005B79F7">
      <w:pPr>
        <w:jc w:val="center"/>
        <w:rPr>
          <w:rFonts w:ascii="Times New Roman" w:hAnsi="Times New Roman" w:cs="Times New Roman"/>
          <w:b/>
          <w:bCs/>
        </w:rPr>
      </w:pPr>
      <w:r w:rsidRPr="005B79F7">
        <w:rPr>
          <w:rFonts w:ascii="Times New Roman" w:hAnsi="Times New Roman" w:cs="Times New Roman"/>
          <w:b/>
          <w:bCs/>
        </w:rPr>
        <w:t>Draft of 1</w:t>
      </w:r>
      <w:r w:rsidRPr="005B79F7">
        <w:rPr>
          <w:rFonts w:ascii="Times New Roman" w:hAnsi="Times New Roman" w:cs="Times New Roman"/>
          <w:b/>
          <w:bCs/>
          <w:vertAlign w:val="superscript"/>
        </w:rPr>
        <w:t>st</w:t>
      </w:r>
      <w:r w:rsidRPr="005B79F7">
        <w:rPr>
          <w:rFonts w:ascii="Times New Roman" w:hAnsi="Times New Roman" w:cs="Times New Roman"/>
          <w:b/>
          <w:bCs/>
        </w:rPr>
        <w:t xml:space="preserve"> April 2026</w:t>
      </w:r>
    </w:p>
    <w:p w14:paraId="231E4B9F" w14:textId="77777777" w:rsidR="005B79F7" w:rsidRDefault="005B79F7" w:rsidP="00D83FF4">
      <w:pPr>
        <w:jc w:val="both"/>
        <w:rPr>
          <w:rFonts w:ascii="Times New Roman" w:hAnsi="Times New Roman" w:cs="Times New Roman"/>
        </w:rPr>
      </w:pPr>
    </w:p>
    <w:p w14:paraId="6C3F6D9E" w14:textId="77777777" w:rsidR="0097364E" w:rsidRDefault="0097364E" w:rsidP="00D83FF4">
      <w:pPr>
        <w:jc w:val="both"/>
        <w:rPr>
          <w:rFonts w:ascii="Times New Roman" w:hAnsi="Times New Roman" w:cs="Times New Roman"/>
        </w:rPr>
      </w:pPr>
    </w:p>
    <w:p w14:paraId="2AB5F85D" w14:textId="77777777" w:rsidR="0097364E" w:rsidRPr="00220BB7" w:rsidRDefault="0097364E" w:rsidP="0097364E">
      <w:pPr>
        <w:jc w:val="center"/>
        <w:rPr>
          <w:rFonts w:ascii="Palatino Linotype" w:hAnsi="Palatino Linotype"/>
          <w:b/>
          <w:bCs/>
          <w:sz w:val="22"/>
          <w:szCs w:val="22"/>
        </w:rPr>
      </w:pPr>
      <w:r w:rsidRPr="00220BB7">
        <w:rPr>
          <w:rFonts w:ascii="Palatino Linotype" w:hAnsi="Palatino Linotype" w:cs="Times New Roman"/>
          <w:b/>
          <w:bCs/>
          <w:sz w:val="22"/>
          <w:szCs w:val="22"/>
        </w:rPr>
        <w:t xml:space="preserve">Forthcoming in </w:t>
      </w:r>
      <w:r w:rsidRPr="00220BB7">
        <w:rPr>
          <w:rFonts w:ascii="Palatino Linotype" w:hAnsi="Palatino Linotype"/>
          <w:b/>
          <w:bCs/>
          <w:sz w:val="22"/>
          <w:szCs w:val="22"/>
        </w:rPr>
        <w:t xml:space="preserve">Lena </w:t>
      </w:r>
      <w:proofErr w:type="spellStart"/>
      <w:r w:rsidRPr="00220BB7">
        <w:rPr>
          <w:rFonts w:ascii="Palatino Linotype" w:hAnsi="Palatino Linotype"/>
          <w:b/>
          <w:bCs/>
          <w:sz w:val="22"/>
          <w:szCs w:val="22"/>
        </w:rPr>
        <w:t>Hornkohl</w:t>
      </w:r>
      <w:proofErr w:type="spellEnd"/>
      <w:r w:rsidRPr="00220BB7">
        <w:rPr>
          <w:rFonts w:ascii="Palatino Linotype" w:hAnsi="Palatino Linotype"/>
          <w:b/>
          <w:bCs/>
          <w:sz w:val="22"/>
          <w:szCs w:val="22"/>
        </w:rPr>
        <w:t xml:space="preserve"> and </w:t>
      </w:r>
      <w:proofErr w:type="spellStart"/>
      <w:r w:rsidRPr="00220BB7">
        <w:rPr>
          <w:rFonts w:ascii="Palatino Linotype" w:hAnsi="Palatino Linotype"/>
          <w:b/>
          <w:bCs/>
          <w:sz w:val="22"/>
          <w:szCs w:val="22"/>
        </w:rPr>
        <w:t>Dionysios</w:t>
      </w:r>
      <w:proofErr w:type="spellEnd"/>
      <w:r w:rsidRPr="00220BB7">
        <w:rPr>
          <w:rFonts w:ascii="Palatino Linotype" w:hAnsi="Palatino Linotype"/>
          <w:b/>
          <w:bCs/>
          <w:sz w:val="22"/>
          <w:szCs w:val="22"/>
        </w:rPr>
        <w:t xml:space="preserve"> </w:t>
      </w:r>
      <w:proofErr w:type="spellStart"/>
      <w:r w:rsidRPr="00220BB7">
        <w:rPr>
          <w:rFonts w:ascii="Palatino Linotype" w:hAnsi="Palatino Linotype"/>
          <w:b/>
          <w:bCs/>
          <w:sz w:val="22"/>
          <w:szCs w:val="22"/>
        </w:rPr>
        <w:t>Pelekis</w:t>
      </w:r>
      <w:proofErr w:type="spellEnd"/>
      <w:r w:rsidRPr="00220BB7">
        <w:rPr>
          <w:rFonts w:ascii="Palatino Linotype" w:hAnsi="Palatino Linotype"/>
          <w:b/>
          <w:bCs/>
          <w:sz w:val="22"/>
          <w:szCs w:val="22"/>
        </w:rPr>
        <w:t xml:space="preserve"> (eds)</w:t>
      </w:r>
    </w:p>
    <w:p w14:paraId="2205DE8E" w14:textId="77777777" w:rsidR="0097364E" w:rsidRPr="00220BB7" w:rsidRDefault="0097364E" w:rsidP="0097364E">
      <w:pPr>
        <w:jc w:val="center"/>
        <w:rPr>
          <w:rFonts w:ascii="Palatino Linotype" w:hAnsi="Palatino Linotype"/>
          <w:b/>
          <w:bCs/>
          <w:sz w:val="22"/>
          <w:szCs w:val="22"/>
        </w:rPr>
      </w:pPr>
      <w:r w:rsidRPr="00220BB7">
        <w:rPr>
          <w:rFonts w:ascii="Palatino Linotype" w:hAnsi="Palatino Linotype"/>
          <w:b/>
          <w:bCs/>
          <w:i/>
          <w:iCs/>
          <w:sz w:val="22"/>
          <w:szCs w:val="22"/>
        </w:rPr>
        <w:t>Empowering Growth: State Aid and Industrial Policy in the European Union</w:t>
      </w:r>
      <w:r w:rsidRPr="00220BB7">
        <w:rPr>
          <w:rFonts w:ascii="Palatino Linotype" w:hAnsi="Palatino Linotype"/>
          <w:b/>
          <w:bCs/>
          <w:sz w:val="22"/>
          <w:szCs w:val="22"/>
        </w:rPr>
        <w:t>, Kluwer's International Competition Law Series</w:t>
      </w:r>
    </w:p>
    <w:p w14:paraId="0D1FA572" w14:textId="77777777" w:rsidR="0097364E" w:rsidRDefault="0097364E" w:rsidP="00D83FF4">
      <w:pPr>
        <w:jc w:val="both"/>
        <w:rPr>
          <w:rFonts w:ascii="Times New Roman" w:hAnsi="Times New Roman" w:cs="Times New Roman"/>
        </w:rPr>
      </w:pPr>
    </w:p>
    <w:p w14:paraId="10E4987D" w14:textId="77777777" w:rsidR="0097364E" w:rsidRPr="00C46092" w:rsidRDefault="0097364E" w:rsidP="00D83FF4">
      <w:pPr>
        <w:jc w:val="both"/>
        <w:rPr>
          <w:rFonts w:ascii="Times New Roman" w:hAnsi="Times New Roman" w:cs="Times New Roman"/>
        </w:rPr>
      </w:pPr>
    </w:p>
    <w:p w14:paraId="12DE4254" w14:textId="115B5E39"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Introduction</w:t>
      </w:r>
    </w:p>
    <w:p w14:paraId="539788EA" w14:textId="777777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Conflict is at the core of State aid</w:t>
      </w:r>
    </w:p>
    <w:p w14:paraId="112926B7" w14:textId="777777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The evolution of State aid control</w:t>
      </w:r>
    </w:p>
    <w:p w14:paraId="229617D9" w14:textId="777777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Evolving in times of crisis: hard questions</w:t>
      </w:r>
    </w:p>
    <w:p w14:paraId="255EEAB2" w14:textId="777777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The original Constitution of the 1950s: still valid</w:t>
      </w:r>
    </w:p>
    <w:p w14:paraId="4694C9E1" w14:textId="777777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The inevitable interplay of EU State aid with other policies and competences: dangerous liaisons</w:t>
      </w:r>
    </w:p>
    <w:p w14:paraId="5F6C2BB2" w14:textId="777777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The State aid Constitution dealing with crisis-times: a revolution?</w:t>
      </w:r>
    </w:p>
    <w:p w14:paraId="03866DCD" w14:textId="712F5EA0" w:rsidR="008932DE" w:rsidRPr="00C46092" w:rsidRDefault="008932DE" w:rsidP="008932DE">
      <w:pPr>
        <w:pStyle w:val="ListParagraph"/>
        <w:numPr>
          <w:ilvl w:val="0"/>
          <w:numId w:val="18"/>
        </w:numPr>
        <w:jc w:val="both"/>
        <w:rPr>
          <w:rFonts w:ascii="Times New Roman" w:hAnsi="Times New Roman" w:cs="Times New Roman"/>
        </w:rPr>
      </w:pPr>
      <w:r w:rsidRPr="00C46092">
        <w:rPr>
          <w:rFonts w:ascii="Times New Roman" w:hAnsi="Times New Roman" w:cs="Times New Roman"/>
        </w:rPr>
        <w:t xml:space="preserve">Thoughts on the legality of the changing Constitution: </w:t>
      </w:r>
      <w:r>
        <w:rPr>
          <w:rFonts w:ascii="Times New Roman" w:hAnsi="Times New Roman" w:cs="Times New Roman"/>
        </w:rPr>
        <w:t>doubts</w:t>
      </w:r>
    </w:p>
    <w:p w14:paraId="170D6EDD" w14:textId="4748E8CC"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 xml:space="preserve">Thoughts on the </w:t>
      </w:r>
      <w:r w:rsidR="008932DE">
        <w:rPr>
          <w:rFonts w:ascii="Times New Roman" w:hAnsi="Times New Roman" w:cs="Times New Roman"/>
        </w:rPr>
        <w:t>political acceptability</w:t>
      </w:r>
      <w:r w:rsidRPr="00C46092">
        <w:rPr>
          <w:rFonts w:ascii="Times New Roman" w:hAnsi="Times New Roman" w:cs="Times New Roman"/>
        </w:rPr>
        <w:t xml:space="preserve"> of the changing Constitution: unstable equilibrium</w:t>
      </w:r>
    </w:p>
    <w:p w14:paraId="3445E971" w14:textId="194D3077" w:rsidR="00EE2817" w:rsidRPr="00C46092" w:rsidRDefault="00EE2817" w:rsidP="00D83FF4">
      <w:pPr>
        <w:pStyle w:val="ListParagraph"/>
        <w:numPr>
          <w:ilvl w:val="0"/>
          <w:numId w:val="18"/>
        </w:numPr>
        <w:jc w:val="both"/>
        <w:rPr>
          <w:rFonts w:ascii="Times New Roman" w:hAnsi="Times New Roman" w:cs="Times New Roman"/>
        </w:rPr>
      </w:pPr>
      <w:r w:rsidRPr="00C46092">
        <w:rPr>
          <w:rFonts w:ascii="Times New Roman" w:hAnsi="Times New Roman" w:cs="Times New Roman"/>
        </w:rPr>
        <w:t xml:space="preserve">The conflict between original and </w:t>
      </w:r>
      <w:r w:rsidR="00905012" w:rsidRPr="00C46092">
        <w:rPr>
          <w:rFonts w:ascii="Times New Roman" w:hAnsi="Times New Roman" w:cs="Times New Roman"/>
        </w:rPr>
        <w:t>changing</w:t>
      </w:r>
      <w:r w:rsidRPr="00C46092">
        <w:rPr>
          <w:rFonts w:ascii="Times New Roman" w:hAnsi="Times New Roman" w:cs="Times New Roman"/>
        </w:rPr>
        <w:t xml:space="preserve"> Constitutions: What to do?</w:t>
      </w:r>
    </w:p>
    <w:p w14:paraId="3F851769" w14:textId="77777777" w:rsidR="00695711" w:rsidRPr="00C46092" w:rsidRDefault="00695711" w:rsidP="00D83FF4">
      <w:pPr>
        <w:jc w:val="both"/>
        <w:rPr>
          <w:rFonts w:ascii="Times New Roman" w:hAnsi="Times New Roman" w:cs="Times New Roman"/>
        </w:rPr>
      </w:pPr>
    </w:p>
    <w:p w14:paraId="7B07BDEB" w14:textId="77777777" w:rsidR="00695711" w:rsidRDefault="00695711" w:rsidP="00D83FF4">
      <w:pPr>
        <w:jc w:val="both"/>
        <w:rPr>
          <w:rFonts w:ascii="Times New Roman" w:hAnsi="Times New Roman" w:cs="Times New Roman"/>
        </w:rPr>
      </w:pPr>
    </w:p>
    <w:p w14:paraId="3ECBFC32" w14:textId="77777777" w:rsidR="006D5B4A" w:rsidRPr="00C46092" w:rsidRDefault="006D5B4A" w:rsidP="00D83FF4">
      <w:pPr>
        <w:jc w:val="both"/>
        <w:rPr>
          <w:rFonts w:ascii="Times New Roman" w:hAnsi="Times New Roman" w:cs="Times New Roman"/>
        </w:rPr>
      </w:pPr>
    </w:p>
    <w:p w14:paraId="7398D9BD" w14:textId="77777777" w:rsidR="00695711" w:rsidRPr="00C46092" w:rsidRDefault="00695711" w:rsidP="00D83FF4">
      <w:pPr>
        <w:jc w:val="both"/>
        <w:rPr>
          <w:rFonts w:ascii="Times New Roman" w:hAnsi="Times New Roman" w:cs="Times New Roman"/>
        </w:rPr>
      </w:pPr>
    </w:p>
    <w:p w14:paraId="09CDF885" w14:textId="152E3D71" w:rsidR="00D44B3B" w:rsidRPr="00C46092" w:rsidRDefault="00D44B3B"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Introduction</w:t>
      </w:r>
    </w:p>
    <w:p w14:paraId="6541ABAE" w14:textId="77777777" w:rsidR="00D44B3B" w:rsidRPr="00C46092" w:rsidRDefault="00D44B3B" w:rsidP="00D83FF4">
      <w:pPr>
        <w:jc w:val="both"/>
        <w:rPr>
          <w:rFonts w:ascii="Times New Roman" w:hAnsi="Times New Roman" w:cs="Times New Roman"/>
        </w:rPr>
      </w:pPr>
    </w:p>
    <w:p w14:paraId="14DF2F3E" w14:textId="58CEFC8D" w:rsidR="00624D42" w:rsidRPr="00C46092" w:rsidRDefault="00D44B3B" w:rsidP="00D83FF4">
      <w:pPr>
        <w:jc w:val="both"/>
        <w:rPr>
          <w:rFonts w:ascii="Times New Roman" w:hAnsi="Times New Roman" w:cs="Times New Roman"/>
        </w:rPr>
      </w:pPr>
      <w:r w:rsidRPr="00C46092">
        <w:rPr>
          <w:rFonts w:ascii="Times New Roman" w:hAnsi="Times New Roman" w:cs="Times New Roman"/>
        </w:rPr>
        <w:t>This chapter looks at EU State aid control, one of the most unique features of European integration</w:t>
      </w:r>
      <w:r w:rsidR="00624D42" w:rsidRPr="00C46092">
        <w:rPr>
          <w:rFonts w:ascii="Times New Roman" w:hAnsi="Times New Roman" w:cs="Times New Roman"/>
        </w:rPr>
        <w:t xml:space="preserve">. In particular, it looks at EU State aid control through the heuristic offered by the concept of ‘conflict’. The chapter thus explores whether and to what extent conflicts characterise EU State aid law and policy and, if so, what we should be doing about it. </w:t>
      </w:r>
    </w:p>
    <w:p w14:paraId="5F25CCDA" w14:textId="77777777" w:rsidR="00D44B3B" w:rsidRPr="00C46092" w:rsidRDefault="00D44B3B" w:rsidP="00D83FF4">
      <w:pPr>
        <w:jc w:val="both"/>
        <w:rPr>
          <w:rFonts w:ascii="Times New Roman" w:hAnsi="Times New Roman" w:cs="Times New Roman"/>
        </w:rPr>
      </w:pPr>
    </w:p>
    <w:p w14:paraId="459550BE" w14:textId="577F6175" w:rsidR="0027562C" w:rsidRPr="00C46092" w:rsidRDefault="00596140" w:rsidP="00D83FF4">
      <w:pPr>
        <w:jc w:val="both"/>
        <w:rPr>
          <w:rFonts w:ascii="Times New Roman" w:hAnsi="Times New Roman" w:cs="Times New Roman"/>
        </w:rPr>
      </w:pPr>
      <w:r w:rsidRPr="00C46092">
        <w:rPr>
          <w:rFonts w:ascii="Times New Roman" w:hAnsi="Times New Roman" w:cs="Times New Roman"/>
        </w:rPr>
        <w:t xml:space="preserve">Since it ultimately deals with the respective powers of the European Commission and the Member States, as they are originally </w:t>
      </w:r>
      <w:r w:rsidR="009E5118" w:rsidRPr="00C46092">
        <w:rPr>
          <w:rFonts w:ascii="Times New Roman" w:hAnsi="Times New Roman" w:cs="Times New Roman"/>
        </w:rPr>
        <w:t>designed</w:t>
      </w:r>
      <w:r w:rsidRPr="00C46092">
        <w:rPr>
          <w:rFonts w:ascii="Times New Roman" w:hAnsi="Times New Roman" w:cs="Times New Roman"/>
        </w:rPr>
        <w:t xml:space="preserve"> in the Treaty of Rome and as they have evolved through the decades, and especially since the financial and economic crisis of 2008, </w:t>
      </w:r>
      <w:r w:rsidR="00624D42" w:rsidRPr="00C46092">
        <w:rPr>
          <w:rFonts w:ascii="Times New Roman" w:hAnsi="Times New Roman" w:cs="Times New Roman"/>
        </w:rPr>
        <w:t>the</w:t>
      </w:r>
      <w:r w:rsidRPr="00C46092">
        <w:rPr>
          <w:rFonts w:ascii="Times New Roman" w:hAnsi="Times New Roman" w:cs="Times New Roman"/>
        </w:rPr>
        <w:t xml:space="preserve"> analysis is constitutional. </w:t>
      </w:r>
    </w:p>
    <w:p w14:paraId="7C6A9CBB" w14:textId="77777777" w:rsidR="00113B5C" w:rsidRPr="00C46092" w:rsidRDefault="00113B5C" w:rsidP="00D83FF4">
      <w:pPr>
        <w:jc w:val="both"/>
        <w:rPr>
          <w:rFonts w:ascii="Times New Roman" w:hAnsi="Times New Roman" w:cs="Times New Roman"/>
        </w:rPr>
      </w:pPr>
    </w:p>
    <w:p w14:paraId="3DBD6C04" w14:textId="1DA6C8EC" w:rsidR="00113B5C" w:rsidRPr="00C46092" w:rsidRDefault="00113B5C" w:rsidP="00D83FF4">
      <w:pPr>
        <w:jc w:val="both"/>
        <w:rPr>
          <w:rFonts w:ascii="Times New Roman" w:hAnsi="Times New Roman" w:cs="Times New Roman"/>
        </w:rPr>
      </w:pPr>
      <w:r w:rsidRPr="00C46092">
        <w:rPr>
          <w:rFonts w:ascii="Times New Roman" w:hAnsi="Times New Roman" w:cs="Times New Roman"/>
        </w:rPr>
        <w:t xml:space="preserve">The chapter is organised as follows. Section 2 </w:t>
      </w:r>
      <w:r w:rsidR="00B11667">
        <w:rPr>
          <w:rFonts w:ascii="Times New Roman" w:hAnsi="Times New Roman" w:cs="Times New Roman"/>
        </w:rPr>
        <w:t xml:space="preserve">briefly </w:t>
      </w:r>
      <w:r w:rsidRPr="00C46092">
        <w:rPr>
          <w:rFonts w:ascii="Times New Roman" w:hAnsi="Times New Roman" w:cs="Times New Roman"/>
        </w:rPr>
        <w:t xml:space="preserve">explores the concept of conflict and its relevance for State aid and State aid control. Section 3 deals with few initial remarks about how the system could and has evolved. This analysis paves the way to the specific consideration of the evolution of State aid during our protracted times of crisis. (Section 4). Section 5 starts </w:t>
      </w:r>
      <w:r w:rsidR="00624D42" w:rsidRPr="00C46092">
        <w:rPr>
          <w:rFonts w:ascii="Times New Roman" w:hAnsi="Times New Roman" w:cs="Times New Roman"/>
        </w:rPr>
        <w:t>the</w:t>
      </w:r>
      <w:r w:rsidRPr="00C46092">
        <w:rPr>
          <w:rFonts w:ascii="Times New Roman" w:hAnsi="Times New Roman" w:cs="Times New Roman"/>
        </w:rPr>
        <w:t xml:space="preserve"> constitutional analysis of State aid exploring the key tenets of the original constitution of the 1950s as it emerges from the ECSC and EEC Treaties</w:t>
      </w:r>
      <w:r w:rsidR="00FA14C2" w:rsidRPr="00C46092">
        <w:rPr>
          <w:rFonts w:ascii="Times New Roman" w:hAnsi="Times New Roman" w:cs="Times New Roman"/>
        </w:rPr>
        <w:t>, and Section 6 analyses the interplay between the State aid competence and other competences in EU law</w:t>
      </w:r>
      <w:r w:rsidRPr="00C46092">
        <w:rPr>
          <w:rFonts w:ascii="Times New Roman" w:hAnsi="Times New Roman" w:cs="Times New Roman"/>
        </w:rPr>
        <w:t xml:space="preserve">. In the following Section </w:t>
      </w:r>
      <w:r w:rsidR="00FA14C2" w:rsidRPr="00C46092">
        <w:rPr>
          <w:rFonts w:ascii="Times New Roman" w:hAnsi="Times New Roman" w:cs="Times New Roman"/>
        </w:rPr>
        <w:t>7</w:t>
      </w:r>
      <w:r w:rsidRPr="00C46092">
        <w:rPr>
          <w:rFonts w:ascii="Times New Roman" w:hAnsi="Times New Roman" w:cs="Times New Roman"/>
        </w:rPr>
        <w:t xml:space="preserve">,  the attention shifts to the core of the analysis which concerns the recent evolution of the “living” constitution of State aid since 2008 up to recent times. While </w:t>
      </w:r>
      <w:r w:rsidRPr="00C46092">
        <w:rPr>
          <w:rFonts w:ascii="Times New Roman" w:hAnsi="Times New Roman" w:cs="Times New Roman"/>
        </w:rPr>
        <w:lastRenderedPageBreak/>
        <w:t xml:space="preserve">Section </w:t>
      </w:r>
      <w:r w:rsidR="00FA14C2" w:rsidRPr="00C46092">
        <w:rPr>
          <w:rFonts w:ascii="Times New Roman" w:hAnsi="Times New Roman" w:cs="Times New Roman"/>
        </w:rPr>
        <w:t>8</w:t>
      </w:r>
      <w:r w:rsidRPr="00C46092">
        <w:rPr>
          <w:rFonts w:ascii="Times New Roman" w:hAnsi="Times New Roman" w:cs="Times New Roman"/>
        </w:rPr>
        <w:t xml:space="preserve"> addresses the key question of the legality of the current trend, Section </w:t>
      </w:r>
      <w:r w:rsidR="00FA14C2" w:rsidRPr="00C46092">
        <w:rPr>
          <w:rFonts w:ascii="Times New Roman" w:hAnsi="Times New Roman" w:cs="Times New Roman"/>
        </w:rPr>
        <w:t>9</w:t>
      </w:r>
      <w:r w:rsidRPr="00C46092">
        <w:rPr>
          <w:rFonts w:ascii="Times New Roman" w:hAnsi="Times New Roman" w:cs="Times New Roman"/>
        </w:rPr>
        <w:t xml:space="preserve"> </w:t>
      </w:r>
      <w:r w:rsidR="00B11667">
        <w:rPr>
          <w:rFonts w:ascii="Times New Roman" w:hAnsi="Times New Roman" w:cs="Times New Roman"/>
        </w:rPr>
        <w:t xml:space="preserve">focuses on its political acceptability. </w:t>
      </w:r>
      <w:r w:rsidR="00B11667" w:rsidRPr="00C46092">
        <w:rPr>
          <w:rFonts w:ascii="Times New Roman" w:hAnsi="Times New Roman" w:cs="Times New Roman"/>
        </w:rPr>
        <w:t xml:space="preserve">Section 10 </w:t>
      </w:r>
      <w:r w:rsidRPr="00C46092">
        <w:rPr>
          <w:rFonts w:ascii="Times New Roman" w:hAnsi="Times New Roman" w:cs="Times New Roman"/>
        </w:rPr>
        <w:t xml:space="preserve">attempts to offer solutions. </w:t>
      </w:r>
    </w:p>
    <w:p w14:paraId="0A8FF303" w14:textId="77777777" w:rsidR="00113B5C" w:rsidRPr="00C46092" w:rsidRDefault="00113B5C" w:rsidP="00D83FF4">
      <w:pPr>
        <w:jc w:val="both"/>
        <w:rPr>
          <w:rFonts w:ascii="Times New Roman" w:hAnsi="Times New Roman" w:cs="Times New Roman"/>
        </w:rPr>
      </w:pPr>
    </w:p>
    <w:p w14:paraId="312F483B" w14:textId="77777777" w:rsidR="0027562C" w:rsidRPr="00C46092" w:rsidRDefault="0027562C" w:rsidP="00D83FF4">
      <w:pPr>
        <w:jc w:val="both"/>
        <w:rPr>
          <w:rFonts w:ascii="Times New Roman" w:hAnsi="Times New Roman" w:cs="Times New Roman"/>
        </w:rPr>
      </w:pPr>
    </w:p>
    <w:p w14:paraId="6652BD73" w14:textId="74465EEF" w:rsidR="0027562C" w:rsidRPr="00C46092" w:rsidRDefault="0027562C"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Conflict is at the core of State aid</w:t>
      </w:r>
    </w:p>
    <w:p w14:paraId="1B2ADCA8" w14:textId="77777777" w:rsidR="0027562C" w:rsidRPr="00C46092" w:rsidRDefault="0027562C" w:rsidP="00D83FF4">
      <w:pPr>
        <w:jc w:val="both"/>
        <w:rPr>
          <w:rFonts w:ascii="Times New Roman" w:hAnsi="Times New Roman" w:cs="Times New Roman"/>
        </w:rPr>
      </w:pPr>
    </w:p>
    <w:p w14:paraId="49D23DC5" w14:textId="4E01ED83" w:rsidR="00FC0DD7" w:rsidRDefault="00FC0DD7" w:rsidP="00D83FF4">
      <w:pPr>
        <w:jc w:val="both"/>
        <w:rPr>
          <w:rFonts w:ascii="Times New Roman" w:hAnsi="Times New Roman" w:cs="Times New Roman"/>
        </w:rPr>
      </w:pPr>
      <w:r>
        <w:rPr>
          <w:rFonts w:ascii="Times New Roman" w:hAnsi="Times New Roman" w:cs="Times New Roman"/>
        </w:rPr>
        <w:t>We consider c</w:t>
      </w:r>
      <w:r w:rsidRPr="00C46092">
        <w:rPr>
          <w:rFonts w:ascii="Times New Roman" w:hAnsi="Times New Roman" w:cs="Times New Roman"/>
        </w:rPr>
        <w:t xml:space="preserve">onflict </w:t>
      </w:r>
      <w:r>
        <w:rPr>
          <w:rFonts w:ascii="Times New Roman" w:hAnsi="Times New Roman" w:cs="Times New Roman"/>
        </w:rPr>
        <w:t xml:space="preserve">to </w:t>
      </w:r>
      <w:r w:rsidRPr="00C46092">
        <w:rPr>
          <w:rFonts w:ascii="Times New Roman" w:hAnsi="Times New Roman" w:cs="Times New Roman"/>
        </w:rPr>
        <w:t xml:space="preserve">arise when different </w:t>
      </w:r>
      <w:r>
        <w:rPr>
          <w:rFonts w:ascii="Times New Roman" w:hAnsi="Times New Roman" w:cs="Times New Roman"/>
        </w:rPr>
        <w:t xml:space="preserve">entitlements or </w:t>
      </w:r>
      <w:r w:rsidRPr="00C46092">
        <w:rPr>
          <w:rFonts w:ascii="Times New Roman" w:hAnsi="Times New Roman" w:cs="Times New Roman"/>
        </w:rPr>
        <w:t>requirements</w:t>
      </w:r>
      <w:r>
        <w:rPr>
          <w:rFonts w:ascii="Times New Roman" w:hAnsi="Times New Roman" w:cs="Times New Roman"/>
        </w:rPr>
        <w:t>, or indeed scenarios,</w:t>
      </w:r>
      <w:r w:rsidRPr="00C46092">
        <w:rPr>
          <w:rFonts w:ascii="Times New Roman" w:hAnsi="Times New Roman" w:cs="Times New Roman"/>
        </w:rPr>
        <w:t xml:space="preserve"> clash with each other, and pursuing one almost inevitably encroaches on the other.</w:t>
      </w:r>
      <w:r>
        <w:rPr>
          <w:rStyle w:val="FootnoteReference"/>
          <w:rFonts w:ascii="Times New Roman" w:hAnsi="Times New Roman" w:cs="Times New Roman"/>
        </w:rPr>
        <w:footnoteReference w:id="1"/>
      </w:r>
    </w:p>
    <w:p w14:paraId="75707B89" w14:textId="77777777" w:rsidR="00FC0DD7" w:rsidRDefault="00FC0DD7" w:rsidP="00D83FF4">
      <w:pPr>
        <w:jc w:val="both"/>
        <w:rPr>
          <w:rFonts w:ascii="Times New Roman" w:hAnsi="Times New Roman" w:cs="Times New Roman"/>
        </w:rPr>
      </w:pPr>
    </w:p>
    <w:p w14:paraId="4A571CF8" w14:textId="219893F2" w:rsidR="00F821C6" w:rsidRPr="00C46092" w:rsidRDefault="00D44B3B" w:rsidP="00D83FF4">
      <w:pPr>
        <w:jc w:val="both"/>
        <w:rPr>
          <w:rFonts w:ascii="Times New Roman" w:hAnsi="Times New Roman" w:cs="Times New Roman"/>
        </w:rPr>
      </w:pPr>
      <w:r w:rsidRPr="00C46092">
        <w:rPr>
          <w:rFonts w:ascii="Times New Roman" w:hAnsi="Times New Roman" w:cs="Times New Roman"/>
        </w:rPr>
        <w:t xml:space="preserve">Conflict is at the core of State aid and </w:t>
      </w:r>
      <w:r w:rsidR="00624D42" w:rsidRPr="00C46092">
        <w:rPr>
          <w:rFonts w:ascii="Times New Roman" w:hAnsi="Times New Roman" w:cs="Times New Roman"/>
        </w:rPr>
        <w:t>its</w:t>
      </w:r>
      <w:r w:rsidRPr="00C46092">
        <w:rPr>
          <w:rFonts w:ascii="Times New Roman" w:hAnsi="Times New Roman" w:cs="Times New Roman"/>
        </w:rPr>
        <w:t xml:space="preserve"> regulation</w:t>
      </w:r>
      <w:r w:rsidR="00F821C6" w:rsidRPr="00C46092">
        <w:rPr>
          <w:rFonts w:ascii="Times New Roman" w:hAnsi="Times New Roman" w:cs="Times New Roman"/>
        </w:rPr>
        <w:t>, from three different perspectives.</w:t>
      </w:r>
    </w:p>
    <w:p w14:paraId="7B0F934B" w14:textId="77777777" w:rsidR="00F821C6" w:rsidRPr="00C46092" w:rsidRDefault="00F821C6" w:rsidP="00D83FF4">
      <w:pPr>
        <w:jc w:val="both"/>
        <w:rPr>
          <w:rFonts w:ascii="Times New Roman" w:hAnsi="Times New Roman" w:cs="Times New Roman"/>
        </w:rPr>
      </w:pPr>
    </w:p>
    <w:p w14:paraId="5A0D9C31" w14:textId="29833CC3" w:rsidR="00D44B3B" w:rsidRPr="00C46092" w:rsidRDefault="00F821C6" w:rsidP="00D83FF4">
      <w:pPr>
        <w:jc w:val="both"/>
        <w:rPr>
          <w:rFonts w:ascii="Times New Roman" w:hAnsi="Times New Roman" w:cs="Times New Roman"/>
        </w:rPr>
      </w:pPr>
      <w:r w:rsidRPr="00C46092">
        <w:rPr>
          <w:rFonts w:ascii="Times New Roman" w:hAnsi="Times New Roman" w:cs="Times New Roman"/>
        </w:rPr>
        <w:t>First,</w:t>
      </w:r>
      <w:r w:rsidR="00D44B3B" w:rsidRPr="00C46092">
        <w:rPr>
          <w:rFonts w:ascii="Times New Roman" w:hAnsi="Times New Roman" w:cs="Times New Roman"/>
        </w:rPr>
        <w:t xml:space="preserve"> State aid measures are in themselves ambivalent and conflictual</w:t>
      </w:r>
      <w:r w:rsidR="00624D42" w:rsidRPr="00C46092">
        <w:rPr>
          <w:rFonts w:ascii="Times New Roman" w:hAnsi="Times New Roman" w:cs="Times New Roman"/>
        </w:rPr>
        <w:t>.</w:t>
      </w:r>
      <w:r w:rsidR="00D44B3B" w:rsidRPr="00C46092">
        <w:rPr>
          <w:rFonts w:ascii="Times New Roman" w:hAnsi="Times New Roman" w:cs="Times New Roman"/>
        </w:rPr>
        <w:t xml:space="preserve"> State aid can be motivated by different policy rationales and may produce ambivalent effects. From a welfare perspective, it may be beneficial for the jurisdiction adopting it and at the same time cause across-the-border negative spillovers for other jurisdictions. </w:t>
      </w:r>
    </w:p>
    <w:p w14:paraId="1987E11E" w14:textId="77777777" w:rsidR="00D44B3B" w:rsidRPr="00C46092" w:rsidRDefault="00D44B3B" w:rsidP="00D83FF4">
      <w:pPr>
        <w:jc w:val="both"/>
        <w:rPr>
          <w:rFonts w:ascii="Times New Roman" w:hAnsi="Times New Roman" w:cs="Times New Roman"/>
        </w:rPr>
      </w:pPr>
    </w:p>
    <w:p w14:paraId="3EA5AF73" w14:textId="06BE7AC2" w:rsidR="00D44B3B" w:rsidRPr="00C46092" w:rsidRDefault="00F821C6" w:rsidP="00D83FF4">
      <w:pPr>
        <w:jc w:val="both"/>
        <w:rPr>
          <w:rFonts w:ascii="Times New Roman" w:hAnsi="Times New Roman" w:cs="Times New Roman"/>
        </w:rPr>
      </w:pPr>
      <w:r w:rsidRPr="00C46092">
        <w:rPr>
          <w:rFonts w:ascii="Times New Roman" w:hAnsi="Times New Roman" w:cs="Times New Roman"/>
        </w:rPr>
        <w:t xml:space="preserve">Secondly, </w:t>
      </w:r>
      <w:r w:rsidR="00D44B3B" w:rsidRPr="00C46092">
        <w:rPr>
          <w:rFonts w:ascii="Times New Roman" w:hAnsi="Times New Roman" w:cs="Times New Roman"/>
        </w:rPr>
        <w:t>State aid control and regulation is also conflictual inasmuch as they need to “balance” out negatives with positives. The main difficulty, from the EU viewpoint, is exactly how to arbitrate between these different objectives and effects and regulate it. To be sure, this balancing is common to other areas (e.g. free movement, antitrust) but it is far more difficult and controversial for subsidies which are a core expression of the governmental prerogative of tax and expenditure.</w:t>
      </w:r>
    </w:p>
    <w:p w14:paraId="4AC14A8E" w14:textId="77777777" w:rsidR="00D44B3B" w:rsidRPr="00C46092" w:rsidRDefault="00D44B3B" w:rsidP="00D83FF4">
      <w:pPr>
        <w:jc w:val="both"/>
        <w:rPr>
          <w:rFonts w:ascii="Times New Roman" w:hAnsi="Times New Roman" w:cs="Times New Roman"/>
        </w:rPr>
      </w:pPr>
    </w:p>
    <w:p w14:paraId="68C98B66" w14:textId="36F3CD80" w:rsidR="00A94E0E" w:rsidRPr="00C46092" w:rsidRDefault="00F821C6" w:rsidP="00D83FF4">
      <w:pPr>
        <w:jc w:val="both"/>
        <w:rPr>
          <w:rFonts w:ascii="Times New Roman" w:hAnsi="Times New Roman" w:cs="Times New Roman"/>
        </w:rPr>
      </w:pPr>
      <w:r w:rsidRPr="00C46092">
        <w:rPr>
          <w:rFonts w:ascii="Times New Roman" w:hAnsi="Times New Roman" w:cs="Times New Roman"/>
        </w:rPr>
        <w:t>Thirdly, and most importantly, within the specific constitutional setting of the EU, State aid assessment is almost inevitably conflictual since it easily interacts with several other policy areas which may feature a different settlement and division of powers between the EU and the Member States.</w:t>
      </w:r>
    </w:p>
    <w:p w14:paraId="1DB16DEF" w14:textId="77777777" w:rsidR="00A94E0E" w:rsidRPr="00C46092" w:rsidRDefault="00A94E0E" w:rsidP="00D83FF4">
      <w:pPr>
        <w:jc w:val="both"/>
        <w:rPr>
          <w:rFonts w:ascii="Times New Roman" w:hAnsi="Times New Roman" w:cs="Times New Roman"/>
        </w:rPr>
      </w:pPr>
    </w:p>
    <w:p w14:paraId="4EE488D8" w14:textId="77777777" w:rsidR="00A94E0E" w:rsidRPr="00C46092" w:rsidRDefault="00A94E0E" w:rsidP="00D83FF4">
      <w:pPr>
        <w:jc w:val="both"/>
        <w:rPr>
          <w:rFonts w:ascii="Times New Roman" w:hAnsi="Times New Roman" w:cs="Times New Roman"/>
        </w:rPr>
      </w:pPr>
    </w:p>
    <w:p w14:paraId="33CA2574" w14:textId="3A8AA288" w:rsidR="00A94E0E" w:rsidRPr="00C46092" w:rsidRDefault="00A94E0E"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The evolution of State aid control</w:t>
      </w:r>
    </w:p>
    <w:p w14:paraId="535660BD" w14:textId="77777777" w:rsidR="00A94E0E" w:rsidRPr="00C46092" w:rsidRDefault="00A94E0E" w:rsidP="00D83FF4">
      <w:pPr>
        <w:jc w:val="both"/>
        <w:rPr>
          <w:rFonts w:ascii="Times New Roman" w:hAnsi="Times New Roman" w:cs="Times New Roman"/>
        </w:rPr>
      </w:pPr>
    </w:p>
    <w:p w14:paraId="489AD5B8" w14:textId="2B66FFC4" w:rsidR="00A94E0E" w:rsidRPr="00C46092" w:rsidRDefault="00D44B3B" w:rsidP="00D83FF4">
      <w:pPr>
        <w:jc w:val="both"/>
        <w:rPr>
          <w:rFonts w:ascii="Times New Roman" w:hAnsi="Times New Roman" w:cs="Times New Roman"/>
        </w:rPr>
      </w:pPr>
      <w:r w:rsidRPr="00C46092">
        <w:rPr>
          <w:rFonts w:ascii="Times New Roman" w:hAnsi="Times New Roman" w:cs="Times New Roman"/>
        </w:rPr>
        <w:t>Importantly, there is no single way to balance negatives and positives</w:t>
      </w:r>
      <w:r w:rsidR="004506C8" w:rsidRPr="00C46092">
        <w:rPr>
          <w:rFonts w:ascii="Times New Roman" w:hAnsi="Times New Roman" w:cs="Times New Roman"/>
        </w:rPr>
        <w:t xml:space="preserve"> in an hypothetical system of subsidy control</w:t>
      </w:r>
      <w:r w:rsidRPr="00C46092">
        <w:rPr>
          <w:rFonts w:ascii="Times New Roman" w:hAnsi="Times New Roman" w:cs="Times New Roman"/>
        </w:rPr>
        <w:t xml:space="preserve">. </w:t>
      </w:r>
    </w:p>
    <w:p w14:paraId="34E721CA" w14:textId="77777777" w:rsidR="00A94E0E" w:rsidRPr="00C46092" w:rsidRDefault="00A94E0E" w:rsidP="00D83FF4">
      <w:pPr>
        <w:jc w:val="both"/>
        <w:rPr>
          <w:rFonts w:ascii="Times New Roman" w:hAnsi="Times New Roman" w:cs="Times New Roman"/>
        </w:rPr>
      </w:pPr>
    </w:p>
    <w:p w14:paraId="43B4338C" w14:textId="66EB7588" w:rsidR="00D44B3B" w:rsidRPr="00C46092" w:rsidRDefault="00D44B3B" w:rsidP="00D83FF4">
      <w:pPr>
        <w:jc w:val="both"/>
        <w:rPr>
          <w:rFonts w:ascii="Times New Roman" w:hAnsi="Times New Roman" w:cs="Times New Roman"/>
        </w:rPr>
      </w:pPr>
      <w:r w:rsidRPr="00C46092">
        <w:rPr>
          <w:rFonts w:ascii="Times New Roman" w:hAnsi="Times New Roman" w:cs="Times New Roman"/>
        </w:rPr>
        <w:t>For example, the G</w:t>
      </w:r>
      <w:r w:rsidR="00624D42" w:rsidRPr="00C46092">
        <w:rPr>
          <w:rFonts w:ascii="Times New Roman" w:hAnsi="Times New Roman" w:cs="Times New Roman"/>
        </w:rPr>
        <w:t>eneral Agreement on Tariffs and Trade (“G</w:t>
      </w:r>
      <w:r w:rsidRPr="00C46092">
        <w:rPr>
          <w:rFonts w:ascii="Times New Roman" w:hAnsi="Times New Roman" w:cs="Times New Roman"/>
        </w:rPr>
        <w:t>ATT</w:t>
      </w:r>
      <w:r w:rsidR="00624D42" w:rsidRPr="00C46092">
        <w:rPr>
          <w:rFonts w:ascii="Times New Roman" w:hAnsi="Times New Roman" w:cs="Times New Roman"/>
        </w:rPr>
        <w:t>”)</w:t>
      </w:r>
      <w:r w:rsidRPr="00C46092">
        <w:rPr>
          <w:rFonts w:ascii="Times New Roman" w:hAnsi="Times New Roman" w:cs="Times New Roman"/>
        </w:rPr>
        <w:t xml:space="preserve"> and then the</w:t>
      </w:r>
      <w:r w:rsidR="00624D42" w:rsidRPr="00C46092">
        <w:rPr>
          <w:rFonts w:ascii="Times New Roman" w:hAnsi="Times New Roman" w:cs="Times New Roman"/>
        </w:rPr>
        <w:t xml:space="preserve"> World Trade Organization (“</w:t>
      </w:r>
      <w:r w:rsidRPr="00C46092">
        <w:rPr>
          <w:rFonts w:ascii="Times New Roman" w:hAnsi="Times New Roman" w:cs="Times New Roman"/>
        </w:rPr>
        <w:t>WTO</w:t>
      </w:r>
      <w:r w:rsidR="00624D42" w:rsidRPr="00C46092">
        <w:rPr>
          <w:rFonts w:ascii="Times New Roman" w:hAnsi="Times New Roman" w:cs="Times New Roman"/>
        </w:rPr>
        <w:t>”)</w:t>
      </w:r>
      <w:r w:rsidRPr="00C46092">
        <w:rPr>
          <w:rFonts w:ascii="Times New Roman" w:hAnsi="Times New Roman" w:cs="Times New Roman"/>
        </w:rPr>
        <w:t xml:space="preserve"> largely adopt a </w:t>
      </w:r>
      <w:r w:rsidRPr="00C46092">
        <w:rPr>
          <w:rFonts w:ascii="Times New Roman" w:hAnsi="Times New Roman" w:cs="Times New Roman"/>
          <w:i/>
          <w:iCs/>
        </w:rPr>
        <w:t xml:space="preserve">laissez-faire </w:t>
      </w:r>
      <w:r w:rsidRPr="00C46092">
        <w:rPr>
          <w:rFonts w:ascii="Times New Roman" w:hAnsi="Times New Roman" w:cs="Times New Roman"/>
        </w:rPr>
        <w:t xml:space="preserve">approach to government subsidies and </w:t>
      </w:r>
      <w:r w:rsidR="00B1121B" w:rsidRPr="00C46092">
        <w:rPr>
          <w:rFonts w:ascii="Times New Roman" w:hAnsi="Times New Roman" w:cs="Times New Roman"/>
        </w:rPr>
        <w:t>only</w:t>
      </w:r>
      <w:r w:rsidRPr="00C46092">
        <w:rPr>
          <w:rFonts w:ascii="Times New Roman" w:hAnsi="Times New Roman" w:cs="Times New Roman"/>
        </w:rPr>
        <w:t xml:space="preserve"> chastise the most egregious forms of trade distortion.</w:t>
      </w:r>
      <w:r w:rsidR="00837675" w:rsidRPr="00C46092">
        <w:rPr>
          <w:rStyle w:val="FootnoteReference"/>
          <w:rFonts w:ascii="Times New Roman" w:hAnsi="Times New Roman" w:cs="Times New Roman"/>
        </w:rPr>
        <w:footnoteReference w:id="2"/>
      </w:r>
      <w:r w:rsidR="0035678B" w:rsidRPr="00C46092">
        <w:rPr>
          <w:rFonts w:ascii="Times New Roman" w:hAnsi="Times New Roman" w:cs="Times New Roman"/>
        </w:rPr>
        <w:t xml:space="preserve"> Subsidies contingent o</w:t>
      </w:r>
      <w:r w:rsidR="00624D42" w:rsidRPr="00C46092">
        <w:rPr>
          <w:rFonts w:ascii="Times New Roman" w:hAnsi="Times New Roman" w:cs="Times New Roman"/>
        </w:rPr>
        <w:t>n</w:t>
      </w:r>
      <w:r w:rsidR="0035678B" w:rsidRPr="00C46092">
        <w:rPr>
          <w:rFonts w:ascii="Times New Roman" w:hAnsi="Times New Roman" w:cs="Times New Roman"/>
        </w:rPr>
        <w:t xml:space="preserve"> export or on the use of local products are explicitly prohibited. All other subsidies are essentially permitted unless a Member State manages to prove they cause adverse effects to its interests, in one of the specific scenarios and satisfying the fairly high legal standards provided by law.</w:t>
      </w:r>
      <w:r w:rsidRPr="00C46092">
        <w:rPr>
          <w:rFonts w:ascii="Times New Roman" w:hAnsi="Times New Roman" w:cs="Times New Roman"/>
        </w:rPr>
        <w:t xml:space="preserve"> </w:t>
      </w:r>
      <w:r w:rsidR="0027562C" w:rsidRPr="00C46092">
        <w:rPr>
          <w:rFonts w:ascii="Times New Roman" w:hAnsi="Times New Roman" w:cs="Times New Roman"/>
        </w:rPr>
        <w:t xml:space="preserve">If </w:t>
      </w:r>
      <w:r w:rsidR="0035678B" w:rsidRPr="00C46092">
        <w:rPr>
          <w:rFonts w:ascii="Times New Roman" w:hAnsi="Times New Roman" w:cs="Times New Roman"/>
        </w:rPr>
        <w:t xml:space="preserve">GATT/WTO subsidy disciplines </w:t>
      </w:r>
      <w:r w:rsidR="0027562C" w:rsidRPr="00C46092">
        <w:rPr>
          <w:rFonts w:ascii="Times New Roman" w:hAnsi="Times New Roman" w:cs="Times New Roman"/>
        </w:rPr>
        <w:t xml:space="preserve">offer policy space to governments, they do so </w:t>
      </w:r>
      <w:r w:rsidR="0027562C" w:rsidRPr="00C46092">
        <w:rPr>
          <w:rFonts w:ascii="Times New Roman" w:hAnsi="Times New Roman" w:cs="Times New Roman"/>
          <w:i/>
          <w:iCs/>
        </w:rPr>
        <w:t xml:space="preserve">indirectly </w:t>
      </w:r>
      <w:r w:rsidR="0027562C" w:rsidRPr="00C46092">
        <w:rPr>
          <w:rFonts w:ascii="Times New Roman" w:hAnsi="Times New Roman" w:cs="Times New Roman"/>
        </w:rPr>
        <w:t xml:space="preserve">since </w:t>
      </w:r>
      <w:r w:rsidR="0027562C" w:rsidRPr="00C46092">
        <w:rPr>
          <w:rFonts w:ascii="Times New Roman" w:hAnsi="Times New Roman" w:cs="Times New Roman"/>
        </w:rPr>
        <w:lastRenderedPageBreak/>
        <w:t>there is no express discipline on the ‘positives’ of subsidies, i.e. their ability to target market failures and pursue positive policy objectives.</w:t>
      </w:r>
      <w:r w:rsidR="00B1121B" w:rsidRPr="00C46092">
        <w:rPr>
          <w:rStyle w:val="FootnoteReference"/>
          <w:rFonts w:ascii="Times New Roman" w:hAnsi="Times New Roman" w:cs="Times New Roman"/>
        </w:rPr>
        <w:footnoteReference w:id="3"/>
      </w:r>
    </w:p>
    <w:p w14:paraId="413A632D" w14:textId="77777777" w:rsidR="00D44B3B" w:rsidRPr="00C46092" w:rsidRDefault="00D44B3B" w:rsidP="00D83FF4">
      <w:pPr>
        <w:jc w:val="both"/>
        <w:rPr>
          <w:rFonts w:ascii="Times New Roman" w:hAnsi="Times New Roman" w:cs="Times New Roman"/>
        </w:rPr>
      </w:pPr>
    </w:p>
    <w:p w14:paraId="166BB895" w14:textId="61D8C6D3" w:rsidR="00BB1975" w:rsidRPr="00C46092" w:rsidRDefault="0027562C" w:rsidP="00D83FF4">
      <w:pPr>
        <w:jc w:val="both"/>
        <w:rPr>
          <w:rFonts w:ascii="Times New Roman" w:hAnsi="Times New Roman" w:cs="Times New Roman"/>
        </w:rPr>
      </w:pPr>
      <w:r w:rsidRPr="00C46092">
        <w:rPr>
          <w:rFonts w:ascii="Times New Roman" w:hAnsi="Times New Roman" w:cs="Times New Roman"/>
        </w:rPr>
        <w:t>Virtually since the beginning, European integration has followed a different route which can largely be explained by the higher degree of economic and social integration pursued,</w:t>
      </w:r>
      <w:r w:rsidR="0035678B" w:rsidRPr="00C46092">
        <w:rPr>
          <w:rFonts w:ascii="Times New Roman" w:hAnsi="Times New Roman" w:cs="Times New Roman"/>
        </w:rPr>
        <w:t xml:space="preserve"> </w:t>
      </w:r>
      <w:r w:rsidR="00DC680F" w:rsidRPr="00C46092">
        <w:rPr>
          <w:rFonts w:ascii="Times New Roman" w:hAnsi="Times New Roman" w:cs="Times New Roman"/>
        </w:rPr>
        <w:t>which</w:t>
      </w:r>
      <w:r w:rsidR="0035678B" w:rsidRPr="00C46092">
        <w:rPr>
          <w:rFonts w:ascii="Times New Roman" w:hAnsi="Times New Roman" w:cs="Times New Roman"/>
        </w:rPr>
        <w:t xml:space="preserve"> is</w:t>
      </w:r>
      <w:r w:rsidRPr="00C46092">
        <w:rPr>
          <w:rFonts w:ascii="Times New Roman" w:hAnsi="Times New Roman" w:cs="Times New Roman"/>
        </w:rPr>
        <w:t xml:space="preserve"> duly reflected in the Treaty text. </w:t>
      </w:r>
    </w:p>
    <w:p w14:paraId="1766800A" w14:textId="77777777" w:rsidR="00BB1975" w:rsidRPr="00C46092" w:rsidRDefault="00BB1975" w:rsidP="00D83FF4">
      <w:pPr>
        <w:jc w:val="both"/>
        <w:rPr>
          <w:rFonts w:ascii="Times New Roman" w:hAnsi="Times New Roman" w:cs="Times New Roman"/>
        </w:rPr>
      </w:pPr>
    </w:p>
    <w:p w14:paraId="03ED0BF1" w14:textId="27DEB874" w:rsidR="00D04938" w:rsidRPr="00C46092" w:rsidRDefault="0027562C" w:rsidP="00D83FF4">
      <w:pPr>
        <w:jc w:val="both"/>
        <w:rPr>
          <w:rFonts w:ascii="Times New Roman" w:hAnsi="Times New Roman" w:cs="Times New Roman"/>
        </w:rPr>
      </w:pPr>
      <w:r w:rsidRPr="00C46092">
        <w:rPr>
          <w:rFonts w:ascii="Times New Roman" w:hAnsi="Times New Roman" w:cs="Times New Roman"/>
        </w:rPr>
        <w:t>But, as with many other Constitutions,</w:t>
      </w:r>
      <w:r w:rsidR="00A94E0E" w:rsidRPr="00C46092">
        <w:rPr>
          <w:rStyle w:val="FootnoteReference"/>
          <w:rFonts w:ascii="Times New Roman" w:hAnsi="Times New Roman" w:cs="Times New Roman"/>
        </w:rPr>
        <w:footnoteReference w:id="4"/>
      </w:r>
      <w:r w:rsidRPr="00C46092">
        <w:rPr>
          <w:rFonts w:ascii="Times New Roman" w:hAnsi="Times New Roman" w:cs="Times New Roman"/>
        </w:rPr>
        <w:t xml:space="preserve"> the text of the 1957 Treaty of Rome, which still regulates State aid and its control</w:t>
      </w:r>
      <w:r w:rsidR="00F53338" w:rsidRPr="00C46092">
        <w:rPr>
          <w:rFonts w:ascii="Times New Roman" w:hAnsi="Times New Roman" w:cs="Times New Roman"/>
        </w:rPr>
        <w:t xml:space="preserve"> to this day</w:t>
      </w:r>
      <w:r w:rsidRPr="00C46092">
        <w:rPr>
          <w:rFonts w:ascii="Times New Roman" w:hAnsi="Times New Roman" w:cs="Times New Roman"/>
        </w:rPr>
        <w:t xml:space="preserve">, is also vague and open-ended. This can largely be explained by the fact that EU State aid control was a uniquely new idea in the 1950s. </w:t>
      </w:r>
      <w:r w:rsidR="00D04938" w:rsidRPr="00C46092">
        <w:rPr>
          <w:rFonts w:ascii="Times New Roman" w:hAnsi="Times New Roman" w:cs="Times New Roman"/>
        </w:rPr>
        <w:t>One example suffices to fully appreciate this political and legal novelty. In</w:t>
      </w:r>
      <w:r w:rsidR="00D04938" w:rsidRPr="00C46092">
        <w:rPr>
          <w:rFonts w:ascii="Times New Roman" w:hAnsi="Times New Roman" w:cs="Times New Roman"/>
          <w:i/>
          <w:iCs/>
        </w:rPr>
        <w:t xml:space="preserve"> </w:t>
      </w:r>
      <w:proofErr w:type="spellStart"/>
      <w:r w:rsidR="00D04938" w:rsidRPr="00C46092">
        <w:rPr>
          <w:rFonts w:ascii="Times New Roman" w:hAnsi="Times New Roman" w:cs="Times New Roman"/>
          <w:i/>
          <w:iCs/>
        </w:rPr>
        <w:t>Steenkolenmijnen</w:t>
      </w:r>
      <w:proofErr w:type="spellEnd"/>
      <w:r w:rsidR="00D04938" w:rsidRPr="00C46092">
        <w:rPr>
          <w:rFonts w:ascii="Times New Roman" w:hAnsi="Times New Roman" w:cs="Times New Roman"/>
          <w:i/>
          <w:iCs/>
        </w:rPr>
        <w:t>,</w:t>
      </w:r>
      <w:r w:rsidR="005D34D4">
        <w:rPr>
          <w:rStyle w:val="FootnoteReference"/>
          <w:rFonts w:ascii="Times New Roman" w:hAnsi="Times New Roman" w:cs="Times New Roman"/>
          <w:i/>
          <w:iCs/>
        </w:rPr>
        <w:footnoteReference w:id="5"/>
      </w:r>
      <w:r w:rsidR="00D04938" w:rsidRPr="00C46092">
        <w:rPr>
          <w:rFonts w:ascii="Times New Roman" w:hAnsi="Times New Roman" w:cs="Times New Roman"/>
        </w:rPr>
        <w:t xml:space="preserve"> the very first State aid case before the Court of Justice, the clarification of the language or Article 4(c) of the ECSC Treaty was at issue. What did the strict prohibition of ‘aid’ refer to in that provision so fundamental for the creation of a common market in coal and steel? </w:t>
      </w:r>
      <w:r w:rsidR="00A2552D">
        <w:rPr>
          <w:rFonts w:ascii="Times New Roman" w:hAnsi="Times New Roman" w:cs="Times New Roman"/>
        </w:rPr>
        <w:t>A</w:t>
      </w:r>
      <w:r w:rsidR="00D04938" w:rsidRPr="00C46092">
        <w:rPr>
          <w:rFonts w:ascii="Times New Roman" w:hAnsi="Times New Roman" w:cs="Times New Roman"/>
        </w:rPr>
        <w:t xml:space="preserve">fter noting that the provision was “brief and almost laconic”, the High Authority observed </w:t>
      </w:r>
    </w:p>
    <w:p w14:paraId="0A091488" w14:textId="77777777" w:rsidR="00D04938" w:rsidRPr="00C46092" w:rsidRDefault="00D04938" w:rsidP="00D83FF4">
      <w:pPr>
        <w:jc w:val="both"/>
        <w:rPr>
          <w:rFonts w:ascii="Times New Roman" w:hAnsi="Times New Roman" w:cs="Times New Roman"/>
        </w:rPr>
      </w:pPr>
    </w:p>
    <w:p w14:paraId="60156783" w14:textId="798604B1" w:rsidR="00D04938" w:rsidRPr="00C46092" w:rsidRDefault="00A2552D" w:rsidP="00D83FF4">
      <w:pPr>
        <w:ind w:left="720"/>
        <w:jc w:val="both"/>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i</w:t>
      </w:r>
      <w:proofErr w:type="spellEnd"/>
      <w:r>
        <w:rPr>
          <w:rFonts w:ascii="Times New Roman" w:hAnsi="Times New Roman" w:cs="Times New Roman"/>
        </w:rPr>
        <w:t>]</w:t>
      </w:r>
      <w:r w:rsidR="00D04938" w:rsidRPr="00C46092">
        <w:rPr>
          <w:rFonts w:ascii="Times New Roman" w:hAnsi="Times New Roman" w:cs="Times New Roman"/>
        </w:rPr>
        <w:t>n none of the six treaty countries has a clear and generally accepted concept of subsidy been developed yet. Nor, for that matter, in Community law has a clear and generally accepted concept of subsidy been developed yet.</w:t>
      </w:r>
      <w:r w:rsidR="00F53338" w:rsidRPr="00C46092">
        <w:rPr>
          <w:rStyle w:val="FootnoteReference"/>
          <w:rFonts w:ascii="Times New Roman" w:hAnsi="Times New Roman" w:cs="Times New Roman"/>
        </w:rPr>
        <w:footnoteReference w:id="6"/>
      </w:r>
    </w:p>
    <w:p w14:paraId="04450666" w14:textId="75CA6630" w:rsidR="00D91BBF" w:rsidRPr="00C46092" w:rsidRDefault="00D91BBF" w:rsidP="00D83FF4">
      <w:pPr>
        <w:jc w:val="both"/>
        <w:rPr>
          <w:rFonts w:ascii="Times New Roman" w:hAnsi="Times New Roman" w:cs="Times New Roman"/>
        </w:rPr>
      </w:pPr>
    </w:p>
    <w:p w14:paraId="711C493A" w14:textId="43D25110" w:rsidR="00F53338" w:rsidRPr="00C46092" w:rsidRDefault="00F53338" w:rsidP="00D83FF4">
      <w:pPr>
        <w:jc w:val="both"/>
        <w:rPr>
          <w:rFonts w:ascii="Times New Roman" w:hAnsi="Times New Roman" w:cs="Times New Roman"/>
        </w:rPr>
      </w:pPr>
      <w:r w:rsidRPr="00C46092">
        <w:rPr>
          <w:rFonts w:ascii="Times New Roman" w:hAnsi="Times New Roman" w:cs="Times New Roman"/>
        </w:rPr>
        <w:t xml:space="preserve">To be sure, that case focused on the expression “subsidies </w:t>
      </w:r>
      <w:r w:rsidR="00B446DA">
        <w:rPr>
          <w:rFonts w:ascii="Times New Roman" w:hAnsi="Times New Roman" w:cs="Times New Roman"/>
        </w:rPr>
        <w:t>or</w:t>
      </w:r>
      <w:r w:rsidRPr="00C46092">
        <w:rPr>
          <w:rFonts w:ascii="Times New Roman" w:hAnsi="Times New Roman" w:cs="Times New Roman"/>
        </w:rPr>
        <w:t xml:space="preserve"> aids” of the ECSC and not to the concept of “State aid” of </w:t>
      </w:r>
      <w:r w:rsidR="00B11667">
        <w:rPr>
          <w:rFonts w:ascii="Times New Roman" w:hAnsi="Times New Roman" w:cs="Times New Roman"/>
        </w:rPr>
        <w:t xml:space="preserve">Article 107(1) of </w:t>
      </w:r>
      <w:r w:rsidRPr="00C46092">
        <w:rPr>
          <w:rFonts w:ascii="Times New Roman" w:hAnsi="Times New Roman" w:cs="Times New Roman"/>
        </w:rPr>
        <w:t>the Treaty of Rome. But this does not detract from the fact that even in 1957</w:t>
      </w:r>
      <w:r w:rsidR="00B11667">
        <w:rPr>
          <w:rFonts w:ascii="Times New Roman" w:hAnsi="Times New Roman" w:cs="Times New Roman"/>
        </w:rPr>
        <w:t xml:space="preserve"> the notions</w:t>
      </w:r>
      <w:r w:rsidRPr="00C46092">
        <w:rPr>
          <w:rFonts w:ascii="Times New Roman" w:hAnsi="Times New Roman" w:cs="Times New Roman"/>
        </w:rPr>
        <w:t xml:space="preserve"> State aid and its control were still a novelty. The Treaty of Rome, with its distinction between “in principle incompatibility” and “compatibility”</w:t>
      </w:r>
      <w:r w:rsidR="00B11667">
        <w:rPr>
          <w:rFonts w:ascii="Times New Roman" w:hAnsi="Times New Roman" w:cs="Times New Roman"/>
        </w:rPr>
        <w:t>,</w:t>
      </w:r>
      <w:r w:rsidRPr="00C46092">
        <w:rPr>
          <w:rFonts w:ascii="Times New Roman" w:hAnsi="Times New Roman" w:cs="Times New Roman"/>
        </w:rPr>
        <w:t xml:space="preserve"> mostly as a result of a discretionary assessment of the European Commission</w:t>
      </w:r>
      <w:r w:rsidR="00B11667">
        <w:rPr>
          <w:rFonts w:ascii="Times New Roman" w:hAnsi="Times New Roman" w:cs="Times New Roman"/>
        </w:rPr>
        <w:t>,</w:t>
      </w:r>
      <w:r w:rsidRPr="00C46092">
        <w:rPr>
          <w:rFonts w:ascii="Times New Roman" w:hAnsi="Times New Roman" w:cs="Times New Roman"/>
        </w:rPr>
        <w:t xml:space="preserve"> was simply sketched in its main contours</w:t>
      </w:r>
      <w:r w:rsidR="00B11667">
        <w:rPr>
          <w:rFonts w:ascii="Times New Roman" w:hAnsi="Times New Roman" w:cs="Times New Roman"/>
        </w:rPr>
        <w:t xml:space="preserve"> were</w:t>
      </w:r>
      <w:r w:rsidRPr="00C46092">
        <w:rPr>
          <w:rFonts w:ascii="Times New Roman" w:hAnsi="Times New Roman" w:cs="Times New Roman"/>
        </w:rPr>
        <w:t xml:space="preserve"> awaiting details and shading to be added in the future.</w:t>
      </w:r>
    </w:p>
    <w:p w14:paraId="0C96BB2E" w14:textId="77777777" w:rsidR="00F53338" w:rsidRPr="00C46092" w:rsidRDefault="00F53338" w:rsidP="00D83FF4">
      <w:pPr>
        <w:jc w:val="both"/>
        <w:rPr>
          <w:rFonts w:ascii="Times New Roman" w:hAnsi="Times New Roman" w:cs="Times New Roman"/>
        </w:rPr>
      </w:pPr>
    </w:p>
    <w:p w14:paraId="3D1EFDBB" w14:textId="39F8CD55" w:rsidR="00F53338" w:rsidRPr="00C46092" w:rsidRDefault="00F53338" w:rsidP="00D83FF4">
      <w:pPr>
        <w:jc w:val="both"/>
        <w:rPr>
          <w:rFonts w:ascii="Times New Roman" w:hAnsi="Times New Roman" w:cs="Times New Roman"/>
        </w:rPr>
      </w:pPr>
      <w:r w:rsidRPr="00C46092">
        <w:rPr>
          <w:rFonts w:ascii="Times New Roman" w:hAnsi="Times New Roman" w:cs="Times New Roman"/>
        </w:rPr>
        <w:t xml:space="preserve">Writing in 1994, Claus-Dieter </w:t>
      </w:r>
      <w:proofErr w:type="spellStart"/>
      <w:r w:rsidRPr="00C46092">
        <w:rPr>
          <w:rFonts w:ascii="Times New Roman" w:hAnsi="Times New Roman" w:cs="Times New Roman"/>
        </w:rPr>
        <w:t>Ehlermann</w:t>
      </w:r>
      <w:proofErr w:type="spellEnd"/>
      <w:r w:rsidRPr="00C46092">
        <w:rPr>
          <w:rFonts w:ascii="Times New Roman" w:hAnsi="Times New Roman" w:cs="Times New Roman"/>
        </w:rPr>
        <w:t xml:space="preserve"> was noting</w:t>
      </w:r>
    </w:p>
    <w:p w14:paraId="640144D0" w14:textId="77777777" w:rsidR="00F53338" w:rsidRPr="00C46092" w:rsidRDefault="00F53338" w:rsidP="00D83FF4">
      <w:pPr>
        <w:jc w:val="both"/>
        <w:rPr>
          <w:rFonts w:ascii="Times New Roman" w:hAnsi="Times New Roman" w:cs="Times New Roman"/>
        </w:rPr>
      </w:pPr>
    </w:p>
    <w:p w14:paraId="226A418D" w14:textId="2F8A962B" w:rsidR="00F53338" w:rsidRPr="00F53338" w:rsidRDefault="00F53338" w:rsidP="00D83FF4">
      <w:pPr>
        <w:ind w:left="720"/>
        <w:jc w:val="both"/>
        <w:rPr>
          <w:rFonts w:ascii="Times New Roman" w:hAnsi="Times New Roman" w:cs="Times New Roman"/>
        </w:rPr>
      </w:pPr>
      <w:r w:rsidRPr="00F53338">
        <w:rPr>
          <w:rFonts w:ascii="Times New Roman" w:hAnsi="Times New Roman" w:cs="Times New Roman"/>
        </w:rPr>
        <w:t>State aid control in the EU had to be established progressively from scratch. Neither the authors of the Treaties nor the High Authority of the European Coal and Steel Community ("ECSC") and the Commission of the European Economic Community ("EEC") could have recourse to earlier international or national practice. Even today, the understanding of state aid control is underdeveloped; compare the wealth of writing on antitrust questions to the dearth of publications on state aid issues.</w:t>
      </w:r>
      <w:r w:rsidRPr="00C46092">
        <w:rPr>
          <w:rStyle w:val="FootnoteReference"/>
          <w:rFonts w:ascii="Times New Roman" w:hAnsi="Times New Roman" w:cs="Times New Roman"/>
        </w:rPr>
        <w:footnoteReference w:id="7"/>
      </w:r>
    </w:p>
    <w:p w14:paraId="31E88BEE" w14:textId="77777777" w:rsidR="0027562C" w:rsidRPr="00C46092" w:rsidRDefault="0027562C" w:rsidP="00D83FF4">
      <w:pPr>
        <w:jc w:val="both"/>
        <w:rPr>
          <w:rFonts w:ascii="Times New Roman" w:hAnsi="Times New Roman" w:cs="Times New Roman"/>
        </w:rPr>
      </w:pPr>
    </w:p>
    <w:p w14:paraId="518EBBCE" w14:textId="26DA1457" w:rsidR="0027562C" w:rsidRPr="00C46092" w:rsidRDefault="0027562C" w:rsidP="00D83FF4">
      <w:pPr>
        <w:jc w:val="both"/>
        <w:rPr>
          <w:rFonts w:ascii="Times New Roman" w:hAnsi="Times New Roman" w:cs="Times New Roman"/>
        </w:rPr>
      </w:pPr>
      <w:r w:rsidRPr="00C46092">
        <w:rPr>
          <w:rFonts w:ascii="Times New Roman" w:hAnsi="Times New Roman" w:cs="Times New Roman"/>
        </w:rPr>
        <w:t xml:space="preserve">It has thus been for the High Authority, soon turned into the European Commission, under the increasing scrutiny of the European Court of Justice, to shape the system. Member States </w:t>
      </w:r>
      <w:r w:rsidRPr="00C46092">
        <w:rPr>
          <w:rFonts w:ascii="Times New Roman" w:hAnsi="Times New Roman" w:cs="Times New Roman"/>
        </w:rPr>
        <w:lastRenderedPageBreak/>
        <w:t xml:space="preserve">largely shied away from the direct design of system, either because they could not agree or because, when they did, they largely delegated the duty to put flesh to the bones to the European Commission. In doing so, the Commission has continuously shaped and re-shaped the system, and the inner balance between the negatives and the positives, </w:t>
      </w:r>
      <w:r w:rsidR="00C46092">
        <w:rPr>
          <w:rFonts w:ascii="Times New Roman" w:hAnsi="Times New Roman" w:cs="Times New Roman"/>
        </w:rPr>
        <w:t xml:space="preserve">between ‘incompatibility’ and ‘compatibility’, </w:t>
      </w:r>
      <w:r w:rsidRPr="00C46092">
        <w:rPr>
          <w:rFonts w:ascii="Times New Roman" w:hAnsi="Times New Roman" w:cs="Times New Roman"/>
        </w:rPr>
        <w:t>between ‘prohibition’ and the ‘justifications’.</w:t>
      </w:r>
      <w:r w:rsidR="008012D2">
        <w:rPr>
          <w:rStyle w:val="FootnoteReference"/>
          <w:rFonts w:ascii="Times New Roman" w:hAnsi="Times New Roman" w:cs="Times New Roman"/>
        </w:rPr>
        <w:footnoteReference w:id="8"/>
      </w:r>
    </w:p>
    <w:p w14:paraId="66F3D872" w14:textId="77777777" w:rsidR="0027562C" w:rsidRPr="00C46092" w:rsidRDefault="0027562C" w:rsidP="00D83FF4">
      <w:pPr>
        <w:jc w:val="both"/>
        <w:rPr>
          <w:rFonts w:ascii="Times New Roman" w:hAnsi="Times New Roman" w:cs="Times New Roman"/>
        </w:rPr>
      </w:pPr>
    </w:p>
    <w:p w14:paraId="327684A0" w14:textId="77777777" w:rsidR="003C4812" w:rsidRDefault="0027562C" w:rsidP="00D83FF4">
      <w:pPr>
        <w:jc w:val="both"/>
        <w:rPr>
          <w:rFonts w:ascii="Times New Roman" w:hAnsi="Times New Roman" w:cs="Times New Roman"/>
        </w:rPr>
      </w:pPr>
      <w:r w:rsidRPr="00C46092">
        <w:rPr>
          <w:rFonts w:ascii="Times New Roman" w:hAnsi="Times New Roman" w:cs="Times New Roman"/>
        </w:rPr>
        <w:t xml:space="preserve">On their part, </w:t>
      </w:r>
      <w:r w:rsidR="005B4673" w:rsidRPr="00C46092">
        <w:rPr>
          <w:rFonts w:ascii="Times New Roman" w:hAnsi="Times New Roman" w:cs="Times New Roman"/>
        </w:rPr>
        <w:t>discounting</w:t>
      </w:r>
      <w:r w:rsidR="000105AE" w:rsidRPr="00C46092">
        <w:rPr>
          <w:rFonts w:ascii="Times New Roman" w:hAnsi="Times New Roman" w:cs="Times New Roman"/>
        </w:rPr>
        <w:t xml:space="preserve"> largely</w:t>
      </w:r>
      <w:r w:rsidRPr="00C46092">
        <w:rPr>
          <w:rFonts w:ascii="Times New Roman" w:hAnsi="Times New Roman" w:cs="Times New Roman"/>
        </w:rPr>
        <w:t xml:space="preserve"> sporadic </w:t>
      </w:r>
      <w:r w:rsidR="008C2ED4" w:rsidRPr="00C46092">
        <w:rPr>
          <w:rFonts w:ascii="Times New Roman" w:hAnsi="Times New Roman" w:cs="Times New Roman"/>
        </w:rPr>
        <w:t>complaints</w:t>
      </w:r>
      <w:r w:rsidRPr="00C46092">
        <w:rPr>
          <w:rFonts w:ascii="Times New Roman" w:hAnsi="Times New Roman" w:cs="Times New Roman"/>
        </w:rPr>
        <w:t>,</w:t>
      </w:r>
      <w:r w:rsidR="00737972">
        <w:rPr>
          <w:rStyle w:val="FootnoteReference"/>
          <w:rFonts w:ascii="Times New Roman" w:hAnsi="Times New Roman" w:cs="Times New Roman"/>
        </w:rPr>
        <w:footnoteReference w:id="9"/>
      </w:r>
      <w:r w:rsidRPr="00C46092">
        <w:rPr>
          <w:rFonts w:ascii="Times New Roman" w:hAnsi="Times New Roman" w:cs="Times New Roman"/>
        </w:rPr>
        <w:t xml:space="preserve"> Member </w:t>
      </w:r>
      <w:r w:rsidRPr="00737972">
        <w:rPr>
          <w:rFonts w:ascii="Times New Roman" w:hAnsi="Times New Roman" w:cs="Times New Roman"/>
        </w:rPr>
        <w:t xml:space="preserve">States </w:t>
      </w:r>
      <w:r w:rsidR="00A94E0E" w:rsidRPr="00737972">
        <w:rPr>
          <w:rFonts w:ascii="Times New Roman" w:hAnsi="Times New Roman" w:cs="Times New Roman"/>
        </w:rPr>
        <w:t xml:space="preserve">have </w:t>
      </w:r>
      <w:r w:rsidRPr="00737972">
        <w:rPr>
          <w:rFonts w:ascii="Times New Roman" w:hAnsi="Times New Roman" w:cs="Times New Roman"/>
        </w:rPr>
        <w:t>largely acquiesced</w:t>
      </w:r>
      <w:r w:rsidRPr="00C46092">
        <w:rPr>
          <w:rFonts w:ascii="Times New Roman" w:hAnsi="Times New Roman" w:cs="Times New Roman"/>
        </w:rPr>
        <w:t xml:space="preserve"> to the policy choices of the Commission. </w:t>
      </w:r>
      <w:r w:rsidR="00C8223B" w:rsidRPr="00C46092">
        <w:rPr>
          <w:rFonts w:ascii="Times New Roman" w:hAnsi="Times New Roman" w:cs="Times New Roman"/>
        </w:rPr>
        <w:t>Readers should remember this acquiescence since it may become relevant when we make a legal and political assessment of the current scenario of EU State aid policy.</w:t>
      </w:r>
    </w:p>
    <w:p w14:paraId="067DA1E7" w14:textId="77777777" w:rsidR="003C4812" w:rsidRDefault="003C4812" w:rsidP="00D83FF4">
      <w:pPr>
        <w:jc w:val="both"/>
        <w:rPr>
          <w:rFonts w:ascii="Times New Roman" w:hAnsi="Times New Roman" w:cs="Times New Roman"/>
        </w:rPr>
      </w:pPr>
    </w:p>
    <w:p w14:paraId="2B814965" w14:textId="070C5C62" w:rsidR="00BF23BB" w:rsidRDefault="003C4812" w:rsidP="00D83FF4">
      <w:pPr>
        <w:jc w:val="both"/>
        <w:rPr>
          <w:rFonts w:ascii="Times New Roman" w:hAnsi="Times New Roman" w:cs="Times New Roman"/>
        </w:rPr>
      </w:pPr>
      <w:r>
        <w:rPr>
          <w:rFonts w:ascii="Times New Roman" w:hAnsi="Times New Roman" w:cs="Times New Roman"/>
        </w:rPr>
        <w:t xml:space="preserve">Drawing from public choice theory, the economist </w:t>
      </w:r>
      <w:r w:rsidR="00737972">
        <w:rPr>
          <w:rFonts w:ascii="Times New Roman" w:hAnsi="Times New Roman" w:cs="Times New Roman"/>
        </w:rPr>
        <w:t>William Bishop has written a memorable paper to explain the Commission – Member States relationship</w:t>
      </w:r>
      <w:r w:rsidR="00BF23BB">
        <w:rPr>
          <w:rFonts w:ascii="Times New Roman" w:hAnsi="Times New Roman" w:cs="Times New Roman"/>
        </w:rPr>
        <w:t>.</w:t>
      </w:r>
      <w:r w:rsidR="00BF23BB">
        <w:rPr>
          <w:rStyle w:val="FootnoteReference"/>
          <w:rFonts w:ascii="Times New Roman" w:hAnsi="Times New Roman" w:cs="Times New Roman"/>
        </w:rPr>
        <w:footnoteReference w:id="10"/>
      </w:r>
      <w:r w:rsidR="00BF23BB">
        <w:rPr>
          <w:rFonts w:ascii="Times New Roman" w:hAnsi="Times New Roman" w:cs="Times New Roman"/>
        </w:rPr>
        <w:t xml:space="preserve"> Member States would often shift the blame for politically unpalatable decisions (from a domestic perspective) to the Commission (or, more generally, to the EU) but, all in all, they generally accept the latter’s tutelage, which takes shape in a very significant leeway in interpreting the State aid constitution, especially with respect to the exemptions. Writing in 2011 (but with words that are still largely relevant today) Bishop noted that the Commission’s power is virtually subject to “no control” at all with the exception of “unreasonableness”.</w:t>
      </w:r>
      <w:r w:rsidR="00BF23BB">
        <w:rPr>
          <w:rStyle w:val="FootnoteReference"/>
          <w:rFonts w:ascii="Times New Roman" w:hAnsi="Times New Roman" w:cs="Times New Roman"/>
        </w:rPr>
        <w:footnoteReference w:id="11"/>
      </w:r>
    </w:p>
    <w:p w14:paraId="5E711982" w14:textId="41475B58" w:rsidR="00C51442" w:rsidRPr="00C46092" w:rsidRDefault="00C51442" w:rsidP="00D83FF4">
      <w:pPr>
        <w:jc w:val="both"/>
        <w:rPr>
          <w:rFonts w:ascii="Times New Roman" w:hAnsi="Times New Roman" w:cs="Times New Roman"/>
        </w:rPr>
      </w:pPr>
    </w:p>
    <w:p w14:paraId="2746DE14" w14:textId="77777777" w:rsidR="002B3D4B" w:rsidRPr="00C46092" w:rsidRDefault="002B3D4B" w:rsidP="00D83FF4">
      <w:pPr>
        <w:jc w:val="both"/>
        <w:rPr>
          <w:rFonts w:ascii="Times New Roman" w:hAnsi="Times New Roman" w:cs="Times New Roman"/>
        </w:rPr>
      </w:pPr>
    </w:p>
    <w:p w14:paraId="4D6B0079" w14:textId="19363538" w:rsidR="002B3D4B" w:rsidRPr="00C46092" w:rsidRDefault="002B3D4B"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Evolving in times of crisis: hard questions</w:t>
      </w:r>
    </w:p>
    <w:p w14:paraId="111AC872" w14:textId="77777777" w:rsidR="002B3D4B" w:rsidRPr="00C46092" w:rsidRDefault="002B3D4B" w:rsidP="00D83FF4">
      <w:pPr>
        <w:jc w:val="both"/>
        <w:rPr>
          <w:rFonts w:ascii="Times New Roman" w:hAnsi="Times New Roman" w:cs="Times New Roman"/>
        </w:rPr>
      </w:pPr>
    </w:p>
    <w:p w14:paraId="57A188F8" w14:textId="734DD016" w:rsidR="00D44B3B" w:rsidRPr="00C46092" w:rsidRDefault="00A94E0E" w:rsidP="00D83FF4">
      <w:pPr>
        <w:jc w:val="both"/>
        <w:rPr>
          <w:rFonts w:ascii="Times New Roman" w:hAnsi="Times New Roman" w:cs="Times New Roman"/>
        </w:rPr>
      </w:pPr>
      <w:r w:rsidRPr="00C46092">
        <w:rPr>
          <w:rFonts w:ascii="Times New Roman" w:hAnsi="Times New Roman" w:cs="Times New Roman"/>
        </w:rPr>
        <w:t xml:space="preserve">In times of crisis, </w:t>
      </w:r>
      <w:r w:rsidR="00DB0A78" w:rsidRPr="00C46092">
        <w:rPr>
          <w:rFonts w:ascii="Times New Roman" w:hAnsi="Times New Roman" w:cs="Times New Roman"/>
        </w:rPr>
        <w:t xml:space="preserve">which have </w:t>
      </w:r>
      <w:r w:rsidR="0036545C" w:rsidRPr="00C46092">
        <w:rPr>
          <w:rFonts w:ascii="Times New Roman" w:hAnsi="Times New Roman" w:cs="Times New Roman"/>
        </w:rPr>
        <w:t>incessantly</w:t>
      </w:r>
      <w:r w:rsidR="003C245B" w:rsidRPr="00C46092">
        <w:rPr>
          <w:rFonts w:ascii="Times New Roman" w:hAnsi="Times New Roman" w:cs="Times New Roman"/>
        </w:rPr>
        <w:t xml:space="preserve"> </w:t>
      </w:r>
      <w:r w:rsidR="00DB0A78" w:rsidRPr="00C46092">
        <w:rPr>
          <w:rFonts w:ascii="Times New Roman" w:hAnsi="Times New Roman" w:cs="Times New Roman"/>
        </w:rPr>
        <w:t>engulfed the EU and the world</w:t>
      </w:r>
      <w:r w:rsidR="00C51442" w:rsidRPr="00C46092">
        <w:rPr>
          <w:rFonts w:ascii="Times New Roman" w:hAnsi="Times New Roman" w:cs="Times New Roman"/>
        </w:rPr>
        <w:t xml:space="preserve"> since 2008</w:t>
      </w:r>
      <w:r w:rsidRPr="00C46092">
        <w:rPr>
          <w:rFonts w:ascii="Times New Roman" w:hAnsi="Times New Roman" w:cs="Times New Roman"/>
        </w:rPr>
        <w:t xml:space="preserve">, the criticism </w:t>
      </w:r>
      <w:r w:rsidR="00BF23BB">
        <w:rPr>
          <w:rFonts w:ascii="Times New Roman" w:hAnsi="Times New Roman" w:cs="Times New Roman"/>
        </w:rPr>
        <w:t xml:space="preserve">of the direction taken by EU State aid control has got </w:t>
      </w:r>
      <w:r w:rsidRPr="00C46092">
        <w:rPr>
          <w:rFonts w:ascii="Times New Roman" w:hAnsi="Times New Roman" w:cs="Times New Roman"/>
        </w:rPr>
        <w:t>stronger</w:t>
      </w:r>
      <w:r w:rsidR="00BF23BB">
        <w:rPr>
          <w:rFonts w:ascii="Times New Roman" w:hAnsi="Times New Roman" w:cs="Times New Roman"/>
        </w:rPr>
        <w:t xml:space="preserve"> (a</w:t>
      </w:r>
      <w:r w:rsidRPr="00C46092">
        <w:rPr>
          <w:rFonts w:ascii="Times New Roman" w:hAnsi="Times New Roman" w:cs="Times New Roman"/>
        </w:rPr>
        <w:t xml:space="preserve">nd the need for analysis </w:t>
      </w:r>
      <w:r w:rsidR="008012D2">
        <w:rPr>
          <w:rFonts w:ascii="Times New Roman" w:hAnsi="Times New Roman" w:cs="Times New Roman"/>
        </w:rPr>
        <w:t>ha</w:t>
      </w:r>
      <w:r w:rsidRPr="00C46092">
        <w:rPr>
          <w:rFonts w:ascii="Times New Roman" w:hAnsi="Times New Roman" w:cs="Times New Roman"/>
        </w:rPr>
        <w:t>s</w:t>
      </w:r>
      <w:r w:rsidR="008012D2">
        <w:rPr>
          <w:rFonts w:ascii="Times New Roman" w:hAnsi="Times New Roman" w:cs="Times New Roman"/>
        </w:rPr>
        <w:t xml:space="preserve"> become</w:t>
      </w:r>
      <w:r w:rsidRPr="00C46092">
        <w:rPr>
          <w:rFonts w:ascii="Times New Roman" w:hAnsi="Times New Roman" w:cs="Times New Roman"/>
        </w:rPr>
        <w:t xml:space="preserve"> all the more warranted</w:t>
      </w:r>
      <w:r w:rsidR="00BF23BB">
        <w:rPr>
          <w:rFonts w:ascii="Times New Roman" w:hAnsi="Times New Roman" w:cs="Times New Roman"/>
        </w:rPr>
        <w:t>)</w:t>
      </w:r>
      <w:r w:rsidRPr="00C46092">
        <w:rPr>
          <w:rFonts w:ascii="Times New Roman" w:hAnsi="Times New Roman" w:cs="Times New Roman"/>
        </w:rPr>
        <w:t>.</w:t>
      </w:r>
      <w:r w:rsidR="00665B3E">
        <w:rPr>
          <w:rFonts w:ascii="Times New Roman" w:hAnsi="Times New Roman" w:cs="Times New Roman"/>
        </w:rPr>
        <w:t xml:space="preserve"> The gist of the criticisms is that the EU Commission has exercised powers and competences which are not its own (but Member States’), that it has dramatically changed the prevailing interpretation of the law, especially with respect to the administration of justifications, that the main focus has shifted from “prohibiting” distorting State aid to “justifying” State aid that is in line with horizontal, EU-defined policy objectives.</w:t>
      </w:r>
      <w:r w:rsidR="008012D2">
        <w:rPr>
          <w:rStyle w:val="FootnoteReference"/>
          <w:rFonts w:ascii="Times New Roman" w:hAnsi="Times New Roman" w:cs="Times New Roman"/>
        </w:rPr>
        <w:footnoteReference w:id="12"/>
      </w:r>
    </w:p>
    <w:p w14:paraId="65CB50E4" w14:textId="77777777" w:rsidR="00A94E0E" w:rsidRPr="00C46092" w:rsidRDefault="00A94E0E" w:rsidP="00D83FF4">
      <w:pPr>
        <w:jc w:val="both"/>
        <w:rPr>
          <w:rFonts w:ascii="Times New Roman" w:hAnsi="Times New Roman" w:cs="Times New Roman"/>
        </w:rPr>
      </w:pPr>
    </w:p>
    <w:p w14:paraId="19E95C43" w14:textId="4123A317" w:rsidR="00A94E0E" w:rsidRPr="00C46092" w:rsidRDefault="00BF23BB" w:rsidP="00D83FF4">
      <w:pPr>
        <w:jc w:val="both"/>
        <w:rPr>
          <w:rFonts w:ascii="Times New Roman" w:hAnsi="Times New Roman" w:cs="Times New Roman"/>
        </w:rPr>
      </w:pPr>
      <w:r>
        <w:rPr>
          <w:rFonts w:ascii="Times New Roman" w:hAnsi="Times New Roman" w:cs="Times New Roman"/>
        </w:rPr>
        <w:t xml:space="preserve">In general, constitutional terms, </w:t>
      </w:r>
      <w:r w:rsidR="00665B3E">
        <w:rPr>
          <w:rFonts w:ascii="Times New Roman" w:hAnsi="Times New Roman" w:cs="Times New Roman"/>
        </w:rPr>
        <w:t xml:space="preserve">the key questions are thus as follows. </w:t>
      </w:r>
      <w:r w:rsidR="00A94E0E" w:rsidRPr="00C46092">
        <w:rPr>
          <w:rFonts w:ascii="Times New Roman" w:hAnsi="Times New Roman" w:cs="Times New Roman"/>
        </w:rPr>
        <w:t>What happens when</w:t>
      </w:r>
      <w:r w:rsidR="00D44B3B" w:rsidRPr="00C46092">
        <w:rPr>
          <w:rFonts w:ascii="Times New Roman" w:hAnsi="Times New Roman" w:cs="Times New Roman"/>
        </w:rPr>
        <w:t xml:space="preserve"> the two terms to balance with each other </w:t>
      </w:r>
      <w:r w:rsidR="00665B3E">
        <w:rPr>
          <w:rFonts w:ascii="Times New Roman" w:hAnsi="Times New Roman" w:cs="Times New Roman"/>
        </w:rPr>
        <w:t xml:space="preserve">(in the State aid case, prohibition and justification) </w:t>
      </w:r>
      <w:r w:rsidR="00D44B3B" w:rsidRPr="00C46092">
        <w:rPr>
          <w:rFonts w:ascii="Times New Roman" w:hAnsi="Times New Roman" w:cs="Times New Roman"/>
        </w:rPr>
        <w:t>face a dramatic change</w:t>
      </w:r>
      <w:r w:rsidR="00A94E0E" w:rsidRPr="00C46092">
        <w:rPr>
          <w:rFonts w:ascii="Times New Roman" w:hAnsi="Times New Roman" w:cs="Times New Roman"/>
        </w:rPr>
        <w:t>? What if the pendulum decisively move towards one of the two, making it largely prevalent in the balancing act? How does this significant re-balancing fare against the Constitution?</w:t>
      </w:r>
    </w:p>
    <w:p w14:paraId="1B36FF58" w14:textId="77777777" w:rsidR="00A94E0E" w:rsidRPr="00C46092" w:rsidRDefault="00A94E0E" w:rsidP="00D83FF4">
      <w:pPr>
        <w:jc w:val="both"/>
        <w:rPr>
          <w:rFonts w:ascii="Times New Roman" w:hAnsi="Times New Roman" w:cs="Times New Roman"/>
        </w:rPr>
      </w:pPr>
    </w:p>
    <w:p w14:paraId="4912A6C2" w14:textId="101C00EC" w:rsidR="00D44B3B" w:rsidRPr="00C46092" w:rsidRDefault="00A94E0E" w:rsidP="00D83FF4">
      <w:pPr>
        <w:jc w:val="both"/>
        <w:rPr>
          <w:rFonts w:ascii="Times New Roman" w:hAnsi="Times New Roman" w:cs="Times New Roman"/>
        </w:rPr>
      </w:pPr>
      <w:r w:rsidRPr="00C46092">
        <w:rPr>
          <w:rFonts w:ascii="Times New Roman" w:hAnsi="Times New Roman" w:cs="Times New Roman"/>
        </w:rPr>
        <w:t xml:space="preserve">It is a fact that the </w:t>
      </w:r>
      <w:r w:rsidR="00D44B3B" w:rsidRPr="00C46092">
        <w:rPr>
          <w:rFonts w:ascii="Times New Roman" w:hAnsi="Times New Roman" w:cs="Times New Roman"/>
        </w:rPr>
        <w:t>Constitution on State aid control has evolved dramatically since the 1950s – it bears almost no resemblance to the original set-up</w:t>
      </w:r>
      <w:r w:rsidRPr="00C46092">
        <w:rPr>
          <w:rFonts w:ascii="Times New Roman" w:hAnsi="Times New Roman" w:cs="Times New Roman"/>
        </w:rPr>
        <w:t xml:space="preserve">. State aid law and policy may well be </w:t>
      </w:r>
      <w:r w:rsidRPr="00C46092">
        <w:rPr>
          <w:rFonts w:ascii="Times New Roman" w:hAnsi="Times New Roman" w:cs="Times New Roman"/>
        </w:rPr>
        <w:lastRenderedPageBreak/>
        <w:t xml:space="preserve">represented by the </w:t>
      </w:r>
      <w:r w:rsidR="00D44B3B" w:rsidRPr="00C46092">
        <w:rPr>
          <w:rFonts w:ascii="Times New Roman" w:hAnsi="Times New Roman" w:cs="Times New Roman"/>
        </w:rPr>
        <w:t>image of geological stratification</w:t>
      </w:r>
      <w:r w:rsidRPr="00C46092">
        <w:rPr>
          <w:rFonts w:ascii="Times New Roman" w:hAnsi="Times New Roman" w:cs="Times New Roman"/>
        </w:rPr>
        <w:t xml:space="preserve">. One can easily identify its evolution, layer after layer. And these changes </w:t>
      </w:r>
      <w:r w:rsidR="00D44B3B" w:rsidRPr="00C46092">
        <w:rPr>
          <w:rFonts w:ascii="Times New Roman" w:hAnsi="Times New Roman" w:cs="Times New Roman"/>
        </w:rPr>
        <w:t>have qualitative, not only quantitative, nature</w:t>
      </w:r>
      <w:r w:rsidRPr="00C46092">
        <w:rPr>
          <w:rFonts w:ascii="Times New Roman" w:hAnsi="Times New Roman" w:cs="Times New Roman"/>
        </w:rPr>
        <w:t>.</w:t>
      </w:r>
    </w:p>
    <w:p w14:paraId="7343314D" w14:textId="77777777" w:rsidR="00D44B3B" w:rsidRPr="00C46092" w:rsidRDefault="00D44B3B" w:rsidP="00D83FF4">
      <w:pPr>
        <w:jc w:val="both"/>
        <w:rPr>
          <w:rFonts w:ascii="Times New Roman" w:hAnsi="Times New Roman" w:cs="Times New Roman"/>
        </w:rPr>
      </w:pPr>
    </w:p>
    <w:p w14:paraId="545591A8" w14:textId="650FA30F" w:rsidR="005726C9" w:rsidRPr="00C46092" w:rsidRDefault="00665B3E" w:rsidP="00D83FF4">
      <w:pPr>
        <w:jc w:val="both"/>
        <w:rPr>
          <w:rFonts w:ascii="Times New Roman" w:hAnsi="Times New Roman" w:cs="Times New Roman"/>
        </w:rPr>
      </w:pPr>
      <w:r>
        <w:rPr>
          <w:rFonts w:ascii="Times New Roman" w:hAnsi="Times New Roman" w:cs="Times New Roman"/>
        </w:rPr>
        <w:t>T</w:t>
      </w:r>
      <w:r w:rsidR="00A94E0E" w:rsidRPr="00C46092">
        <w:rPr>
          <w:rFonts w:ascii="Times New Roman" w:hAnsi="Times New Roman" w:cs="Times New Roman"/>
        </w:rPr>
        <w:t>hese dramatic changes indicate v</w:t>
      </w:r>
      <w:r w:rsidR="00D44B3B" w:rsidRPr="00C46092">
        <w:rPr>
          <w:rFonts w:ascii="Times New Roman" w:hAnsi="Times New Roman" w:cs="Times New Roman"/>
        </w:rPr>
        <w:t>arious types of real</w:t>
      </w:r>
      <w:r>
        <w:rPr>
          <w:rFonts w:ascii="Times New Roman" w:hAnsi="Times New Roman" w:cs="Times New Roman"/>
        </w:rPr>
        <w:t xml:space="preserve"> or </w:t>
      </w:r>
      <w:r w:rsidR="00D44B3B" w:rsidRPr="00C46092">
        <w:rPr>
          <w:rFonts w:ascii="Times New Roman" w:hAnsi="Times New Roman" w:cs="Times New Roman"/>
        </w:rPr>
        <w:t>potential conflict</w:t>
      </w:r>
      <w:r>
        <w:rPr>
          <w:rFonts w:ascii="Times New Roman" w:hAnsi="Times New Roman" w:cs="Times New Roman"/>
        </w:rPr>
        <w:t xml:space="preserve">s, at various levels: </w:t>
      </w:r>
      <w:r w:rsidR="00D44B3B" w:rsidRPr="00C46092">
        <w:rPr>
          <w:rFonts w:ascii="Times New Roman" w:hAnsi="Times New Roman" w:cs="Times New Roman"/>
        </w:rPr>
        <w:t>within the system</w:t>
      </w:r>
      <w:r>
        <w:rPr>
          <w:rFonts w:ascii="Times New Roman" w:hAnsi="Times New Roman" w:cs="Times New Roman"/>
        </w:rPr>
        <w:t xml:space="preserve"> of State aid control itself</w:t>
      </w:r>
      <w:r w:rsidR="00D44B3B" w:rsidRPr="00C46092">
        <w:rPr>
          <w:rFonts w:ascii="Times New Roman" w:hAnsi="Times New Roman" w:cs="Times New Roman"/>
        </w:rPr>
        <w:t>, with the internal market, with</w:t>
      </w:r>
      <w:r>
        <w:rPr>
          <w:rFonts w:ascii="Times New Roman" w:hAnsi="Times New Roman" w:cs="Times New Roman"/>
        </w:rPr>
        <w:t xml:space="preserve"> other EU policies, with</w:t>
      </w:r>
      <w:r w:rsidR="00D44B3B" w:rsidRPr="00C46092">
        <w:rPr>
          <w:rFonts w:ascii="Times New Roman" w:hAnsi="Times New Roman" w:cs="Times New Roman"/>
        </w:rPr>
        <w:t xml:space="preserve"> third countries</w:t>
      </w:r>
      <w:r w:rsidR="00A94E0E" w:rsidRPr="00C46092">
        <w:rPr>
          <w:rFonts w:ascii="Times New Roman" w:hAnsi="Times New Roman" w:cs="Times New Roman"/>
        </w:rPr>
        <w:t>.</w:t>
      </w:r>
      <w:r w:rsidR="002B3D4B" w:rsidRPr="00C46092">
        <w:rPr>
          <w:rFonts w:ascii="Times New Roman" w:hAnsi="Times New Roman" w:cs="Times New Roman"/>
        </w:rPr>
        <w:t xml:space="preserve"> </w:t>
      </w:r>
      <w:r>
        <w:rPr>
          <w:rFonts w:ascii="Times New Roman" w:hAnsi="Times New Roman" w:cs="Times New Roman"/>
        </w:rPr>
        <w:t>Most importantly</w:t>
      </w:r>
      <w:r w:rsidR="002B3D4B" w:rsidRPr="00C46092">
        <w:rPr>
          <w:rFonts w:ascii="Times New Roman" w:hAnsi="Times New Roman" w:cs="Times New Roman"/>
        </w:rPr>
        <w:t xml:space="preserve">, given the inextricable link of State aid and State aid policy </w:t>
      </w:r>
      <w:r>
        <w:rPr>
          <w:rFonts w:ascii="Times New Roman" w:hAnsi="Times New Roman" w:cs="Times New Roman"/>
        </w:rPr>
        <w:t xml:space="preserve">on the one hand </w:t>
      </w:r>
      <w:r w:rsidR="002B3D4B" w:rsidRPr="00C46092">
        <w:rPr>
          <w:rFonts w:ascii="Times New Roman" w:hAnsi="Times New Roman" w:cs="Times New Roman"/>
        </w:rPr>
        <w:t>with several EU and Member States policies</w:t>
      </w:r>
      <w:r>
        <w:rPr>
          <w:rFonts w:ascii="Times New Roman" w:hAnsi="Times New Roman" w:cs="Times New Roman"/>
        </w:rPr>
        <w:t xml:space="preserve"> on the other</w:t>
      </w:r>
      <w:r w:rsidR="002B3D4B" w:rsidRPr="00C46092">
        <w:rPr>
          <w:rFonts w:ascii="Times New Roman" w:hAnsi="Times New Roman" w:cs="Times New Roman"/>
        </w:rPr>
        <w:t xml:space="preserve">, the analysis of these </w:t>
      </w:r>
      <w:r w:rsidR="00D44B3B" w:rsidRPr="00C46092">
        <w:rPr>
          <w:rFonts w:ascii="Times New Roman" w:hAnsi="Times New Roman" w:cs="Times New Roman"/>
        </w:rPr>
        <w:t xml:space="preserve">conflicts of the system </w:t>
      </w:r>
      <w:r w:rsidR="002B3D4B" w:rsidRPr="00C46092">
        <w:rPr>
          <w:rFonts w:ascii="Times New Roman" w:hAnsi="Times New Roman" w:cs="Times New Roman"/>
        </w:rPr>
        <w:t>is</w:t>
      </w:r>
      <w:r w:rsidR="00D44B3B" w:rsidRPr="00C46092">
        <w:rPr>
          <w:rFonts w:ascii="Times New Roman" w:hAnsi="Times New Roman" w:cs="Times New Roman"/>
        </w:rPr>
        <w:t xml:space="preserve"> consequential for EU</w:t>
      </w:r>
      <w:r>
        <w:rPr>
          <w:rFonts w:ascii="Times New Roman" w:hAnsi="Times New Roman" w:cs="Times New Roman"/>
        </w:rPr>
        <w:t xml:space="preserve"> law and policy</w:t>
      </w:r>
      <w:r w:rsidR="00D44B3B" w:rsidRPr="00C46092">
        <w:rPr>
          <w:rFonts w:ascii="Times New Roman" w:hAnsi="Times New Roman" w:cs="Times New Roman"/>
        </w:rPr>
        <w:t xml:space="preserve"> at large</w:t>
      </w:r>
      <w:r w:rsidR="002B3D4B" w:rsidRPr="00C46092">
        <w:rPr>
          <w:rFonts w:ascii="Times New Roman" w:hAnsi="Times New Roman" w:cs="Times New Roman"/>
        </w:rPr>
        <w:t>.</w:t>
      </w:r>
    </w:p>
    <w:p w14:paraId="31F582F7" w14:textId="77777777" w:rsidR="005726C9" w:rsidRPr="00C46092" w:rsidRDefault="005726C9" w:rsidP="00D83FF4">
      <w:pPr>
        <w:jc w:val="both"/>
        <w:rPr>
          <w:rFonts w:ascii="Times New Roman" w:hAnsi="Times New Roman" w:cs="Times New Roman"/>
        </w:rPr>
      </w:pPr>
    </w:p>
    <w:p w14:paraId="66179D14" w14:textId="14C83459" w:rsidR="005726C9" w:rsidRPr="00C46092" w:rsidRDefault="002B3D4B" w:rsidP="00D83FF4">
      <w:pPr>
        <w:jc w:val="both"/>
        <w:rPr>
          <w:rFonts w:ascii="Times New Roman" w:hAnsi="Times New Roman" w:cs="Times New Roman"/>
        </w:rPr>
      </w:pPr>
      <w:r w:rsidRPr="00C46092">
        <w:rPr>
          <w:rFonts w:ascii="Times New Roman" w:hAnsi="Times New Roman" w:cs="Times New Roman"/>
        </w:rPr>
        <w:t>Two key</w:t>
      </w:r>
      <w:r w:rsidR="005726C9" w:rsidRPr="00C46092">
        <w:rPr>
          <w:rFonts w:ascii="Times New Roman" w:hAnsi="Times New Roman" w:cs="Times New Roman"/>
        </w:rPr>
        <w:t>, hard</w:t>
      </w:r>
      <w:r w:rsidRPr="00C46092">
        <w:rPr>
          <w:rFonts w:ascii="Times New Roman" w:hAnsi="Times New Roman" w:cs="Times New Roman"/>
        </w:rPr>
        <w:t xml:space="preserve"> questions that need to asked are whether these dramatic changes are constitutionally legitimate and politically justified and tenable.</w:t>
      </w:r>
      <w:r w:rsidR="005726C9" w:rsidRPr="00C46092">
        <w:rPr>
          <w:rFonts w:ascii="Times New Roman" w:hAnsi="Times New Roman" w:cs="Times New Roman"/>
        </w:rPr>
        <w:t xml:space="preserve"> In particular, we could and should ask ourselves the following questions:</w:t>
      </w:r>
      <w:r w:rsidR="00665B3E">
        <w:rPr>
          <w:rFonts w:ascii="Times New Roman" w:hAnsi="Times New Roman" w:cs="Times New Roman"/>
        </w:rPr>
        <w:t xml:space="preserve"> </w:t>
      </w:r>
      <w:r w:rsidR="005726C9" w:rsidRPr="00665B3E">
        <w:rPr>
          <w:rFonts w:ascii="Times New Roman" w:hAnsi="Times New Roman" w:cs="Times New Roman"/>
        </w:rPr>
        <w:t>What did the Constitution originally provide as State aid control?</w:t>
      </w:r>
      <w:r w:rsidR="00665B3E">
        <w:rPr>
          <w:rFonts w:ascii="Times New Roman" w:hAnsi="Times New Roman" w:cs="Times New Roman"/>
        </w:rPr>
        <w:t xml:space="preserve"> </w:t>
      </w:r>
      <w:r w:rsidR="005726C9" w:rsidRPr="00665B3E">
        <w:rPr>
          <w:rFonts w:ascii="Times New Roman" w:hAnsi="Times New Roman" w:cs="Times New Roman"/>
        </w:rPr>
        <w:t>How has this Constitution evolved, especially in recent years (esp. since 2008)?</w:t>
      </w:r>
      <w:r w:rsidR="00665B3E">
        <w:rPr>
          <w:rFonts w:ascii="Times New Roman" w:hAnsi="Times New Roman" w:cs="Times New Roman"/>
        </w:rPr>
        <w:t xml:space="preserve"> </w:t>
      </w:r>
      <w:r w:rsidR="005726C9" w:rsidRPr="00665B3E">
        <w:rPr>
          <w:rFonts w:ascii="Times New Roman" w:hAnsi="Times New Roman" w:cs="Times New Roman"/>
        </w:rPr>
        <w:t>Are these changes legitimate and tenable?</w:t>
      </w:r>
      <w:r w:rsidR="00665B3E">
        <w:rPr>
          <w:rFonts w:ascii="Times New Roman" w:hAnsi="Times New Roman" w:cs="Times New Roman"/>
        </w:rPr>
        <w:t xml:space="preserve"> </w:t>
      </w:r>
      <w:r w:rsidR="005726C9" w:rsidRPr="00C46092">
        <w:rPr>
          <w:rFonts w:ascii="Times New Roman" w:hAnsi="Times New Roman" w:cs="Times New Roman"/>
        </w:rPr>
        <w:t>What shall we do?</w:t>
      </w:r>
    </w:p>
    <w:p w14:paraId="41B4B660" w14:textId="77777777" w:rsidR="00D44B3B" w:rsidRDefault="00D44B3B" w:rsidP="00D83FF4">
      <w:pPr>
        <w:jc w:val="both"/>
        <w:rPr>
          <w:rFonts w:ascii="Times New Roman" w:hAnsi="Times New Roman" w:cs="Times New Roman"/>
        </w:rPr>
      </w:pPr>
    </w:p>
    <w:p w14:paraId="24A19436" w14:textId="77777777" w:rsidR="00292D5A" w:rsidRPr="00C46092" w:rsidRDefault="00292D5A" w:rsidP="00D83FF4">
      <w:pPr>
        <w:jc w:val="both"/>
        <w:rPr>
          <w:rFonts w:ascii="Times New Roman" w:hAnsi="Times New Roman" w:cs="Times New Roman"/>
        </w:rPr>
      </w:pPr>
    </w:p>
    <w:p w14:paraId="4713F43C" w14:textId="3FC77372" w:rsidR="00D44B3B" w:rsidRPr="00C46092" w:rsidRDefault="005726C9"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The original Constitution</w:t>
      </w:r>
      <w:r w:rsidR="0046322E" w:rsidRPr="00C46092">
        <w:rPr>
          <w:rFonts w:ascii="Times New Roman" w:hAnsi="Times New Roman" w:cs="Times New Roman"/>
          <w:b/>
          <w:bCs/>
        </w:rPr>
        <w:t xml:space="preserve"> of </w:t>
      </w:r>
      <w:r w:rsidRPr="00C46092">
        <w:rPr>
          <w:rFonts w:ascii="Times New Roman" w:hAnsi="Times New Roman" w:cs="Times New Roman"/>
          <w:b/>
          <w:bCs/>
        </w:rPr>
        <w:t>the 1950s</w:t>
      </w:r>
      <w:r w:rsidR="00C13E0A" w:rsidRPr="00C46092">
        <w:rPr>
          <w:rFonts w:ascii="Times New Roman" w:hAnsi="Times New Roman" w:cs="Times New Roman"/>
          <w:b/>
          <w:bCs/>
        </w:rPr>
        <w:t>: still valid</w:t>
      </w:r>
    </w:p>
    <w:p w14:paraId="632026F6" w14:textId="77777777" w:rsidR="005726C9" w:rsidRPr="00C46092" w:rsidRDefault="005726C9" w:rsidP="00D83FF4">
      <w:pPr>
        <w:jc w:val="both"/>
        <w:rPr>
          <w:rFonts w:ascii="Times New Roman" w:hAnsi="Times New Roman" w:cs="Times New Roman"/>
        </w:rPr>
      </w:pPr>
    </w:p>
    <w:p w14:paraId="39881D07" w14:textId="20008BB6" w:rsidR="00A01CB8" w:rsidRPr="00C46092" w:rsidRDefault="00665B3E" w:rsidP="00D83FF4">
      <w:pPr>
        <w:jc w:val="both"/>
        <w:rPr>
          <w:rFonts w:ascii="Times New Roman" w:hAnsi="Times New Roman" w:cs="Times New Roman"/>
        </w:rPr>
      </w:pPr>
      <w:r>
        <w:rPr>
          <w:rFonts w:ascii="Times New Roman" w:hAnsi="Times New Roman" w:cs="Times New Roman"/>
        </w:rPr>
        <w:t>Before analysing the main content of the original State aid Constitution of the 1950s, we should ask why it does matter to know what the Constitution originally provided in the first place.</w:t>
      </w:r>
    </w:p>
    <w:p w14:paraId="495D8DC0" w14:textId="77777777" w:rsidR="00A01CB8" w:rsidRDefault="00A01CB8" w:rsidP="00D83FF4">
      <w:pPr>
        <w:jc w:val="both"/>
        <w:rPr>
          <w:rFonts w:ascii="Times New Roman" w:hAnsi="Times New Roman" w:cs="Times New Roman"/>
        </w:rPr>
      </w:pPr>
    </w:p>
    <w:p w14:paraId="273D47C4" w14:textId="3C7BFDAB" w:rsidR="00665B3E" w:rsidRDefault="00665B3E" w:rsidP="00D83FF4">
      <w:pPr>
        <w:jc w:val="both"/>
        <w:rPr>
          <w:rFonts w:ascii="Times New Roman" w:hAnsi="Times New Roman" w:cs="Times New Roman"/>
        </w:rPr>
      </w:pPr>
      <w:r>
        <w:rPr>
          <w:rFonts w:ascii="Times New Roman" w:hAnsi="Times New Roman" w:cs="Times New Roman"/>
        </w:rPr>
        <w:t>Many other areas of EU law have changed, and first of all the Constitution has changed through successive treaty amendments and refinements. Importantly, State aid control is still regulated under those terms initially negotiated and drafted in the 1950s. There is thus a presumption that the key features of the system are still those originally negotiated.</w:t>
      </w:r>
      <w:r w:rsidR="00E97738">
        <w:rPr>
          <w:rStyle w:val="FootnoteReference"/>
          <w:rFonts w:ascii="Times New Roman" w:hAnsi="Times New Roman" w:cs="Times New Roman"/>
        </w:rPr>
        <w:footnoteReference w:id="13"/>
      </w:r>
      <w:r>
        <w:rPr>
          <w:rFonts w:ascii="Times New Roman" w:hAnsi="Times New Roman" w:cs="Times New Roman"/>
        </w:rPr>
        <w:t xml:space="preserve"> </w:t>
      </w:r>
      <w:r w:rsidR="00E97738">
        <w:rPr>
          <w:rFonts w:ascii="Times New Roman" w:hAnsi="Times New Roman" w:cs="Times New Roman"/>
        </w:rPr>
        <w:t>That said, however, State aid control does not operate in isolation but has to be set within the broader context of EU law and policy. Particularly relevant are on the one hand the various Treaty provisions that outline the respective competences and powers of EU institutions and Member States and on the other hand the rules that develop other EU policies that should be taken into account in State aid compatibility assessment.</w:t>
      </w:r>
    </w:p>
    <w:p w14:paraId="68B93DBD" w14:textId="77777777" w:rsidR="00A01CB8" w:rsidRPr="00C46092" w:rsidRDefault="00A01CB8" w:rsidP="00D83FF4">
      <w:pPr>
        <w:jc w:val="both"/>
        <w:rPr>
          <w:rFonts w:ascii="Times New Roman" w:hAnsi="Times New Roman" w:cs="Times New Roman"/>
        </w:rPr>
      </w:pPr>
    </w:p>
    <w:p w14:paraId="168B2F62" w14:textId="33CA240D" w:rsidR="005726C9" w:rsidRPr="00C46092" w:rsidRDefault="00C51442" w:rsidP="00D83FF4">
      <w:pPr>
        <w:jc w:val="both"/>
        <w:rPr>
          <w:rFonts w:ascii="Times New Roman" w:hAnsi="Times New Roman" w:cs="Times New Roman"/>
        </w:rPr>
      </w:pPr>
      <w:r w:rsidRPr="00C46092">
        <w:rPr>
          <w:rFonts w:ascii="Times New Roman" w:hAnsi="Times New Roman" w:cs="Times New Roman"/>
        </w:rPr>
        <w:t>As hinted at</w:t>
      </w:r>
      <w:r w:rsidR="00777810">
        <w:rPr>
          <w:rFonts w:ascii="Times New Roman" w:hAnsi="Times New Roman" w:cs="Times New Roman"/>
        </w:rPr>
        <w:t>,</w:t>
      </w:r>
      <w:r w:rsidRPr="00C46092">
        <w:rPr>
          <w:rFonts w:ascii="Times New Roman" w:hAnsi="Times New Roman" w:cs="Times New Roman"/>
        </w:rPr>
        <w:t xml:space="preserve"> since its early days the European Constitution on State aid featured the two key concepts of prohibition and potential justification. Quite intuitively, given the equivalence of different government interventions in the market, and the potential for policy substitution, not only did the creation of a common market require dealing with traditional trade barriers like duties and quotas but also with beyond-the-border interventions like subsidies and aids. </w:t>
      </w:r>
      <w:r w:rsidRPr="00E97738">
        <w:rPr>
          <w:rFonts w:ascii="Times New Roman" w:hAnsi="Times New Roman" w:cs="Times New Roman"/>
          <w:i/>
          <w:iCs/>
        </w:rPr>
        <w:t>State aid control is thus existential for the common market.</w:t>
      </w:r>
      <w:r w:rsidRPr="00C46092">
        <w:rPr>
          <w:rFonts w:ascii="Times New Roman" w:hAnsi="Times New Roman" w:cs="Times New Roman"/>
        </w:rPr>
        <w:t xml:space="preserve"> From this perspective, it is clear that the first and foremost focus of the enforcement of State aid in the early days was on prohibiting it. The most extreme example of this attitude can be found in the European Coal and Steel Community (ECSC) Treaty which prominently feature</w:t>
      </w:r>
      <w:r w:rsidR="00777810">
        <w:rPr>
          <w:rFonts w:ascii="Times New Roman" w:hAnsi="Times New Roman" w:cs="Times New Roman"/>
        </w:rPr>
        <w:t>d</w:t>
      </w:r>
      <w:r w:rsidRPr="00C46092">
        <w:rPr>
          <w:rFonts w:ascii="Times New Roman" w:hAnsi="Times New Roman" w:cs="Times New Roman"/>
        </w:rPr>
        <w:t xml:space="preserve"> an unqualified prohibition of aids and subsidies right at the beginning</w:t>
      </w:r>
      <w:r w:rsidR="00E97738">
        <w:rPr>
          <w:rFonts w:ascii="Times New Roman" w:hAnsi="Times New Roman" w:cs="Times New Roman"/>
        </w:rPr>
        <w:t xml:space="preserve"> in Article 4</w:t>
      </w:r>
      <w:r w:rsidRPr="00C46092">
        <w:rPr>
          <w:rFonts w:ascii="Times New Roman" w:hAnsi="Times New Roman" w:cs="Times New Roman"/>
        </w:rPr>
        <w:t xml:space="preserve">. No </w:t>
      </w:r>
      <w:r w:rsidR="00596140" w:rsidRPr="00C46092">
        <w:rPr>
          <w:rFonts w:ascii="Times New Roman" w:hAnsi="Times New Roman" w:cs="Times New Roman"/>
        </w:rPr>
        <w:t>apparent</w:t>
      </w:r>
      <w:r w:rsidRPr="00C46092">
        <w:rPr>
          <w:rFonts w:ascii="Times New Roman" w:hAnsi="Times New Roman" w:cs="Times New Roman"/>
        </w:rPr>
        <w:t xml:space="preserve"> possibility for exceptions </w:t>
      </w:r>
      <w:r w:rsidR="00777810">
        <w:rPr>
          <w:rFonts w:ascii="Times New Roman" w:hAnsi="Times New Roman" w:cs="Times New Roman"/>
        </w:rPr>
        <w:t>wa</w:t>
      </w:r>
      <w:r w:rsidRPr="00C46092">
        <w:rPr>
          <w:rFonts w:ascii="Times New Roman" w:hAnsi="Times New Roman" w:cs="Times New Roman"/>
        </w:rPr>
        <w:t xml:space="preserve">s provided for. It is only with time that Article 95 ECSC emerged as the appropriate basis for considering the positives of aids and </w:t>
      </w:r>
      <w:r w:rsidR="00596140" w:rsidRPr="00C46092">
        <w:rPr>
          <w:rFonts w:ascii="Times New Roman" w:hAnsi="Times New Roman" w:cs="Times New Roman"/>
        </w:rPr>
        <w:t>their potential justification.</w:t>
      </w:r>
    </w:p>
    <w:p w14:paraId="135091F1" w14:textId="77777777" w:rsidR="00596140" w:rsidRPr="00C46092" w:rsidRDefault="00596140" w:rsidP="00D83FF4">
      <w:pPr>
        <w:jc w:val="both"/>
        <w:rPr>
          <w:rFonts w:ascii="Times New Roman" w:hAnsi="Times New Roman" w:cs="Times New Roman"/>
        </w:rPr>
      </w:pPr>
    </w:p>
    <w:p w14:paraId="193DD1D1" w14:textId="142E7A6D" w:rsidR="00AD7E09" w:rsidRDefault="00596140" w:rsidP="00D83FF4">
      <w:pPr>
        <w:jc w:val="both"/>
        <w:rPr>
          <w:rFonts w:ascii="Times New Roman" w:hAnsi="Times New Roman" w:cs="Times New Roman"/>
        </w:rPr>
      </w:pPr>
      <w:r w:rsidRPr="00C46092">
        <w:rPr>
          <w:rFonts w:ascii="Times New Roman" w:hAnsi="Times New Roman" w:cs="Times New Roman"/>
        </w:rPr>
        <w:t>The Treaty of Rome is, by contrast, more explicit and clearly empowers the European Commission to declare State aid compatible with the Common Market. Crucially for the whole evolution of the system, d</w:t>
      </w:r>
      <w:r w:rsidR="005726C9" w:rsidRPr="00C46092">
        <w:rPr>
          <w:rFonts w:ascii="Times New Roman" w:hAnsi="Times New Roman" w:cs="Times New Roman"/>
        </w:rPr>
        <w:t xml:space="preserve">istortions </w:t>
      </w:r>
      <w:r w:rsidR="005726C9" w:rsidRPr="00C46092">
        <w:rPr>
          <w:rFonts w:ascii="Times New Roman" w:hAnsi="Times New Roman" w:cs="Times New Roman"/>
          <w:i/>
          <w:iCs/>
        </w:rPr>
        <w:t xml:space="preserve">may </w:t>
      </w:r>
      <w:r w:rsidR="005726C9" w:rsidRPr="00C46092">
        <w:rPr>
          <w:rFonts w:ascii="Times New Roman" w:hAnsi="Times New Roman" w:cs="Times New Roman"/>
        </w:rPr>
        <w:t xml:space="preserve">be justified </w:t>
      </w:r>
      <w:r w:rsidRPr="00C46092">
        <w:rPr>
          <w:rFonts w:ascii="Times New Roman" w:hAnsi="Times New Roman" w:cs="Times New Roman"/>
        </w:rPr>
        <w:t>by the presence of the</w:t>
      </w:r>
      <w:r w:rsidR="005726C9" w:rsidRPr="00C46092">
        <w:rPr>
          <w:rFonts w:ascii="Times New Roman" w:hAnsi="Times New Roman" w:cs="Times New Roman"/>
        </w:rPr>
        <w:t xml:space="preserve"> public policy goals </w:t>
      </w:r>
      <w:r w:rsidRPr="00C46092">
        <w:rPr>
          <w:rFonts w:ascii="Times New Roman" w:hAnsi="Times New Roman" w:cs="Times New Roman"/>
        </w:rPr>
        <w:lastRenderedPageBreak/>
        <w:t>of Article 107</w:t>
      </w:r>
      <w:r w:rsidR="00A57E05" w:rsidRPr="00C46092">
        <w:rPr>
          <w:rFonts w:ascii="Times New Roman" w:hAnsi="Times New Roman" w:cs="Times New Roman"/>
        </w:rPr>
        <w:t>(</w:t>
      </w:r>
      <w:r w:rsidRPr="00C46092">
        <w:rPr>
          <w:rFonts w:ascii="Times New Roman" w:hAnsi="Times New Roman" w:cs="Times New Roman"/>
        </w:rPr>
        <w:t>3</w:t>
      </w:r>
      <w:r w:rsidR="00A57E05" w:rsidRPr="00C46092">
        <w:rPr>
          <w:rFonts w:ascii="Times New Roman" w:hAnsi="Times New Roman" w:cs="Times New Roman"/>
        </w:rPr>
        <w:t>)</w:t>
      </w:r>
      <w:r w:rsidRPr="00C46092">
        <w:rPr>
          <w:rFonts w:ascii="Times New Roman" w:hAnsi="Times New Roman" w:cs="Times New Roman"/>
        </w:rPr>
        <w:t xml:space="preserve"> TFEU. What is key here is the </w:t>
      </w:r>
      <w:r w:rsidR="005726C9" w:rsidRPr="00C46092">
        <w:rPr>
          <w:rFonts w:ascii="Times New Roman" w:hAnsi="Times New Roman" w:cs="Times New Roman"/>
        </w:rPr>
        <w:t>use of the conditional</w:t>
      </w:r>
      <w:r w:rsidRPr="00C46092">
        <w:rPr>
          <w:rFonts w:ascii="Times New Roman" w:hAnsi="Times New Roman" w:cs="Times New Roman"/>
        </w:rPr>
        <w:t xml:space="preserve"> tense. The European Commission </w:t>
      </w:r>
      <w:r w:rsidRPr="00C46092">
        <w:rPr>
          <w:rFonts w:ascii="Times New Roman" w:hAnsi="Times New Roman" w:cs="Times New Roman"/>
          <w:i/>
          <w:iCs/>
        </w:rPr>
        <w:t xml:space="preserve">may </w:t>
      </w:r>
      <w:r w:rsidRPr="00C46092">
        <w:rPr>
          <w:rFonts w:ascii="Times New Roman" w:hAnsi="Times New Roman" w:cs="Times New Roman"/>
        </w:rPr>
        <w:t xml:space="preserve">declare State aid compatible. The </w:t>
      </w:r>
      <w:r w:rsidR="005726C9" w:rsidRPr="00C46092">
        <w:rPr>
          <w:rFonts w:ascii="Times New Roman" w:hAnsi="Times New Roman" w:cs="Times New Roman"/>
        </w:rPr>
        <w:t xml:space="preserve">Commission bears </w:t>
      </w:r>
      <w:r w:rsidRPr="00C46092">
        <w:rPr>
          <w:rFonts w:ascii="Times New Roman" w:hAnsi="Times New Roman" w:cs="Times New Roman"/>
        </w:rPr>
        <w:t xml:space="preserve">the power and </w:t>
      </w:r>
      <w:r w:rsidR="005726C9" w:rsidRPr="00C46092">
        <w:rPr>
          <w:rFonts w:ascii="Times New Roman" w:hAnsi="Times New Roman" w:cs="Times New Roman"/>
        </w:rPr>
        <w:t xml:space="preserve">responsibility for this assessment </w:t>
      </w:r>
      <w:r w:rsidRPr="00C46092">
        <w:rPr>
          <w:rFonts w:ascii="Times New Roman" w:hAnsi="Times New Roman" w:cs="Times New Roman"/>
        </w:rPr>
        <w:t>which, as the ECJ soon clarified, is discretionary because it involves difficult economic</w:t>
      </w:r>
      <w:r w:rsidR="00E97738">
        <w:rPr>
          <w:rFonts w:ascii="Times New Roman" w:hAnsi="Times New Roman" w:cs="Times New Roman"/>
        </w:rPr>
        <w:t xml:space="preserve"> and social considerations</w:t>
      </w:r>
      <w:r w:rsidRPr="00C46092">
        <w:rPr>
          <w:rFonts w:ascii="Times New Roman" w:hAnsi="Times New Roman" w:cs="Times New Roman"/>
        </w:rPr>
        <w:t xml:space="preserve"> but above all it is discretionary because it is </w:t>
      </w:r>
      <w:r w:rsidRPr="00E97738">
        <w:rPr>
          <w:rFonts w:ascii="Times New Roman" w:hAnsi="Times New Roman" w:cs="Times New Roman"/>
          <w:i/>
          <w:iCs/>
        </w:rPr>
        <w:t>political</w:t>
      </w:r>
      <w:r w:rsidRPr="00C46092">
        <w:rPr>
          <w:rFonts w:ascii="Times New Roman" w:hAnsi="Times New Roman" w:cs="Times New Roman"/>
        </w:rPr>
        <w:t>.</w:t>
      </w:r>
      <w:r w:rsidR="00777810">
        <w:rPr>
          <w:rStyle w:val="FootnoteReference"/>
          <w:rFonts w:ascii="Times New Roman" w:hAnsi="Times New Roman" w:cs="Times New Roman"/>
        </w:rPr>
        <w:footnoteReference w:id="14"/>
      </w:r>
      <w:r w:rsidRPr="00C46092">
        <w:rPr>
          <w:rFonts w:ascii="Times New Roman" w:hAnsi="Times New Roman" w:cs="Times New Roman"/>
        </w:rPr>
        <w:t xml:space="preserve"> </w:t>
      </w:r>
      <w:r w:rsidR="00E97738">
        <w:rPr>
          <w:rFonts w:ascii="Times New Roman" w:hAnsi="Times New Roman" w:cs="Times New Roman"/>
        </w:rPr>
        <w:t xml:space="preserve">In other words, whether a given State aid measure is all in all positive for the common market is not the outcome of a quantitative </w:t>
      </w:r>
      <w:r w:rsidR="00253F99">
        <w:rPr>
          <w:rFonts w:ascii="Times New Roman" w:hAnsi="Times New Roman" w:cs="Times New Roman"/>
        </w:rPr>
        <w:t>assessment only</w:t>
      </w:r>
      <w:r w:rsidR="00E97738">
        <w:rPr>
          <w:rFonts w:ascii="Times New Roman" w:hAnsi="Times New Roman" w:cs="Times New Roman"/>
        </w:rPr>
        <w:t xml:space="preserve"> but rather of a qualitative evaluation</w:t>
      </w:r>
      <w:r w:rsidR="009F1D29">
        <w:rPr>
          <w:rFonts w:ascii="Times New Roman" w:hAnsi="Times New Roman" w:cs="Times New Roman"/>
        </w:rPr>
        <w:t xml:space="preserve"> of all factors at play</w:t>
      </w:r>
      <w:r w:rsidR="00E97738">
        <w:rPr>
          <w:rFonts w:ascii="Times New Roman" w:hAnsi="Times New Roman" w:cs="Times New Roman"/>
        </w:rPr>
        <w:t>.</w:t>
      </w:r>
    </w:p>
    <w:p w14:paraId="615B87DB" w14:textId="77777777" w:rsidR="00762523" w:rsidRDefault="00762523" w:rsidP="00D83FF4">
      <w:pPr>
        <w:jc w:val="both"/>
        <w:rPr>
          <w:rFonts w:ascii="Times New Roman" w:hAnsi="Times New Roman" w:cs="Times New Roman"/>
        </w:rPr>
      </w:pPr>
    </w:p>
    <w:p w14:paraId="66CAE9CB" w14:textId="0096A0D7" w:rsidR="00AD7E09" w:rsidRDefault="00AD7E09" w:rsidP="00D83FF4">
      <w:pPr>
        <w:jc w:val="both"/>
        <w:rPr>
          <w:rFonts w:ascii="Times New Roman" w:hAnsi="Times New Roman" w:cs="Times New Roman"/>
        </w:rPr>
      </w:pPr>
      <w:r>
        <w:rPr>
          <w:rFonts w:ascii="Times New Roman" w:hAnsi="Times New Roman" w:cs="Times New Roman"/>
        </w:rPr>
        <w:t xml:space="preserve">In a </w:t>
      </w:r>
      <w:r w:rsidR="00550077">
        <w:rPr>
          <w:rFonts w:ascii="Times New Roman" w:hAnsi="Times New Roman" w:cs="Times New Roman"/>
        </w:rPr>
        <w:t>thought-provoking</w:t>
      </w:r>
      <w:r>
        <w:rPr>
          <w:rFonts w:ascii="Times New Roman" w:hAnsi="Times New Roman" w:cs="Times New Roman"/>
        </w:rPr>
        <w:t xml:space="preserve"> paper published in 2010, an American economist and lawyer, </w:t>
      </w:r>
      <w:r w:rsidR="00BA0EBD">
        <w:rPr>
          <w:rFonts w:ascii="Times New Roman" w:hAnsi="Times New Roman" w:cs="Times New Roman"/>
        </w:rPr>
        <w:t xml:space="preserve">Alan Sykes, </w:t>
      </w:r>
      <w:r>
        <w:rPr>
          <w:rFonts w:ascii="Times New Roman" w:hAnsi="Times New Roman" w:cs="Times New Roman"/>
        </w:rPr>
        <w:t>carried out a comparative examination of the rules on subsidies in the GATT/WTO, EU and US.</w:t>
      </w:r>
      <w:r w:rsidR="00762523">
        <w:rPr>
          <w:rStyle w:val="FootnoteReference"/>
          <w:rFonts w:ascii="Times New Roman" w:hAnsi="Times New Roman" w:cs="Times New Roman"/>
        </w:rPr>
        <w:footnoteReference w:id="15"/>
      </w:r>
      <w:r>
        <w:rPr>
          <w:rFonts w:ascii="Times New Roman" w:hAnsi="Times New Roman" w:cs="Times New Roman"/>
        </w:rPr>
        <w:t xml:space="preserve"> When analysing EU State aid provisions, he noted</w:t>
      </w:r>
      <w:r w:rsidR="00C73EAF">
        <w:rPr>
          <w:rFonts w:ascii="Times New Roman" w:hAnsi="Times New Roman" w:cs="Times New Roman"/>
        </w:rPr>
        <w:t>:</w:t>
      </w:r>
    </w:p>
    <w:p w14:paraId="2149EC82" w14:textId="77777777" w:rsidR="00AD7E09" w:rsidRPr="00C46092" w:rsidRDefault="00AD7E09" w:rsidP="00D83FF4">
      <w:pPr>
        <w:jc w:val="both"/>
        <w:rPr>
          <w:rFonts w:ascii="Times New Roman" w:hAnsi="Times New Roman" w:cs="Times New Roman"/>
        </w:rPr>
      </w:pPr>
    </w:p>
    <w:p w14:paraId="29101599" w14:textId="2733BE2F" w:rsidR="00AD7E09" w:rsidRPr="00C46092" w:rsidRDefault="00AD7E09" w:rsidP="00D83FF4">
      <w:pPr>
        <w:ind w:left="360"/>
        <w:jc w:val="both"/>
        <w:rPr>
          <w:rFonts w:ascii="Times New Roman" w:hAnsi="Times New Roman" w:cs="Times New Roman"/>
        </w:rPr>
      </w:pPr>
      <w:r w:rsidRPr="00C46092">
        <w:rPr>
          <w:rFonts w:ascii="Times New Roman" w:hAnsi="Times New Roman" w:cs="Times New Roman"/>
        </w:rPr>
        <w:t>Plainly, almost any manner of aid can be authorized under these broad and vague standards.</w:t>
      </w:r>
      <w:r w:rsidR="00762523">
        <w:rPr>
          <w:rStyle w:val="FootnoteReference"/>
          <w:rFonts w:ascii="Times New Roman" w:hAnsi="Times New Roman" w:cs="Times New Roman"/>
        </w:rPr>
        <w:footnoteReference w:id="16"/>
      </w:r>
    </w:p>
    <w:p w14:paraId="7CA65F14" w14:textId="343BE061" w:rsidR="003A017E" w:rsidRDefault="003A017E" w:rsidP="00D83FF4">
      <w:pPr>
        <w:jc w:val="both"/>
        <w:rPr>
          <w:rFonts w:ascii="Times New Roman" w:hAnsi="Times New Roman" w:cs="Times New Roman"/>
        </w:rPr>
      </w:pPr>
    </w:p>
    <w:p w14:paraId="531A1267" w14:textId="2B770DAC" w:rsidR="00751EA8" w:rsidRPr="00C46092" w:rsidRDefault="00762523" w:rsidP="00D83FF4">
      <w:pPr>
        <w:jc w:val="both"/>
        <w:rPr>
          <w:rFonts w:ascii="Times New Roman" w:hAnsi="Times New Roman" w:cs="Times New Roman"/>
        </w:rPr>
      </w:pPr>
      <w:r w:rsidRPr="00C46092">
        <w:rPr>
          <w:rFonts w:ascii="Times New Roman" w:hAnsi="Times New Roman" w:cs="Times New Roman"/>
        </w:rPr>
        <w:t>The story of State aid control is largely the story of how the Commission has exercised this discretionary power and, step-by-step, developed a fundamental European policy.</w:t>
      </w:r>
      <w:r w:rsidR="00261C69">
        <w:rPr>
          <w:rStyle w:val="FootnoteReference"/>
          <w:rFonts w:ascii="Times New Roman" w:hAnsi="Times New Roman" w:cs="Times New Roman"/>
        </w:rPr>
        <w:footnoteReference w:id="17"/>
      </w:r>
      <w:r w:rsidRPr="00C46092">
        <w:rPr>
          <w:rFonts w:ascii="Times New Roman" w:hAnsi="Times New Roman" w:cs="Times New Roman"/>
        </w:rPr>
        <w:t xml:space="preserve"> </w:t>
      </w:r>
      <w:r w:rsidR="00751EA8">
        <w:rPr>
          <w:rFonts w:ascii="Times New Roman" w:hAnsi="Times New Roman" w:cs="Times New Roman"/>
        </w:rPr>
        <w:t>The EU State aid regime is “</w:t>
      </w:r>
      <w:r w:rsidR="0055404A">
        <w:rPr>
          <w:rFonts w:ascii="Times New Roman" w:hAnsi="Times New Roman" w:cs="Times New Roman"/>
        </w:rPr>
        <w:t>unique</w:t>
      </w:r>
      <w:r w:rsidR="00751EA8">
        <w:rPr>
          <w:rFonts w:ascii="Times New Roman" w:hAnsi="Times New Roman" w:cs="Times New Roman"/>
        </w:rPr>
        <w:t>” at the international level for various reasons. But, perhaps, the most notable is exactly this possibility of justification which, since the beginning, has been a “</w:t>
      </w:r>
      <w:r w:rsidR="0055404A">
        <w:rPr>
          <w:rFonts w:ascii="Times New Roman" w:hAnsi="Times New Roman" w:cs="Times New Roman"/>
        </w:rPr>
        <w:t xml:space="preserve">natural </w:t>
      </w:r>
      <w:r w:rsidR="00751EA8">
        <w:rPr>
          <w:rFonts w:ascii="Times New Roman" w:hAnsi="Times New Roman" w:cs="Times New Roman"/>
        </w:rPr>
        <w:t>monopoly of the Commission”.</w:t>
      </w:r>
      <w:r w:rsidR="00751EA8">
        <w:rPr>
          <w:rStyle w:val="FootnoteReference"/>
          <w:rFonts w:ascii="Times New Roman" w:hAnsi="Times New Roman" w:cs="Times New Roman"/>
        </w:rPr>
        <w:footnoteReference w:id="18"/>
      </w:r>
      <w:r w:rsidR="0055404A">
        <w:rPr>
          <w:rFonts w:ascii="Times New Roman" w:hAnsi="Times New Roman" w:cs="Times New Roman"/>
        </w:rPr>
        <w:t xml:space="preserve"> If we draw a comparison with the multilateral regulation of subsidies, i.e. GATT/WTO system, for a moment, explicit </w:t>
      </w:r>
      <w:r w:rsidR="00751EA8" w:rsidRPr="00C46092">
        <w:rPr>
          <w:rFonts w:ascii="Times New Roman" w:hAnsi="Times New Roman" w:cs="Times New Roman"/>
        </w:rPr>
        <w:t xml:space="preserve">justification opportunities </w:t>
      </w:r>
      <w:r w:rsidR="0055404A">
        <w:rPr>
          <w:rFonts w:ascii="Times New Roman" w:hAnsi="Times New Roman" w:cs="Times New Roman"/>
        </w:rPr>
        <w:t>have</w:t>
      </w:r>
      <w:r w:rsidR="00751EA8" w:rsidRPr="00C46092">
        <w:rPr>
          <w:rFonts w:ascii="Times New Roman" w:hAnsi="Times New Roman" w:cs="Times New Roman"/>
        </w:rPr>
        <w:t xml:space="preserve"> virtually</w:t>
      </w:r>
      <w:r w:rsidR="0055404A">
        <w:rPr>
          <w:rFonts w:ascii="Times New Roman" w:hAnsi="Times New Roman" w:cs="Times New Roman"/>
        </w:rPr>
        <w:t xml:space="preserve"> been</w:t>
      </w:r>
      <w:r w:rsidR="00751EA8" w:rsidRPr="00C46092">
        <w:rPr>
          <w:rFonts w:ascii="Times New Roman" w:hAnsi="Times New Roman" w:cs="Times New Roman"/>
        </w:rPr>
        <w:t xml:space="preserve"> non-existent</w:t>
      </w:r>
      <w:r w:rsidR="0055404A">
        <w:rPr>
          <w:rFonts w:ascii="Times New Roman" w:hAnsi="Times New Roman" w:cs="Times New Roman"/>
        </w:rPr>
        <w:t xml:space="preserve"> since the beginning</w:t>
      </w:r>
      <w:r w:rsidR="00751EA8" w:rsidRPr="00C46092">
        <w:rPr>
          <w:rFonts w:ascii="Times New Roman" w:hAnsi="Times New Roman" w:cs="Times New Roman"/>
        </w:rPr>
        <w:t>, wh</w:t>
      </w:r>
      <w:r w:rsidR="0055404A">
        <w:rPr>
          <w:rFonts w:ascii="Times New Roman" w:hAnsi="Times New Roman" w:cs="Times New Roman"/>
        </w:rPr>
        <w:t>i</w:t>
      </w:r>
      <w:r w:rsidR="00751EA8" w:rsidRPr="00C46092">
        <w:rPr>
          <w:rFonts w:ascii="Times New Roman" w:hAnsi="Times New Roman" w:cs="Times New Roman"/>
        </w:rPr>
        <w:t xml:space="preserve">le focus </w:t>
      </w:r>
      <w:r w:rsidR="0055404A">
        <w:rPr>
          <w:rFonts w:ascii="Times New Roman" w:hAnsi="Times New Roman" w:cs="Times New Roman"/>
        </w:rPr>
        <w:t>has always been</w:t>
      </w:r>
      <w:r w:rsidR="00751EA8" w:rsidRPr="00C46092">
        <w:rPr>
          <w:rFonts w:ascii="Times New Roman" w:hAnsi="Times New Roman" w:cs="Times New Roman"/>
        </w:rPr>
        <w:t xml:space="preserve"> on the presence/absence of distortions</w:t>
      </w:r>
      <w:r w:rsidR="0055404A">
        <w:rPr>
          <w:rFonts w:ascii="Times New Roman" w:hAnsi="Times New Roman" w:cs="Times New Roman"/>
        </w:rPr>
        <w:t>.</w:t>
      </w:r>
      <w:r w:rsidR="0055404A">
        <w:rPr>
          <w:rStyle w:val="FootnoteReference"/>
          <w:rFonts w:ascii="Times New Roman" w:hAnsi="Times New Roman" w:cs="Times New Roman"/>
        </w:rPr>
        <w:footnoteReference w:id="19"/>
      </w:r>
    </w:p>
    <w:p w14:paraId="2A40D4D5" w14:textId="77777777" w:rsidR="00751EA8" w:rsidRPr="00C46092" w:rsidRDefault="00751EA8" w:rsidP="00D83FF4">
      <w:pPr>
        <w:jc w:val="both"/>
        <w:rPr>
          <w:rFonts w:ascii="Times New Roman" w:hAnsi="Times New Roman" w:cs="Times New Roman"/>
        </w:rPr>
      </w:pPr>
    </w:p>
    <w:p w14:paraId="723ADC0D" w14:textId="77777777" w:rsidR="00413E5A" w:rsidRPr="00C46092" w:rsidRDefault="00413E5A" w:rsidP="00D83FF4">
      <w:pPr>
        <w:jc w:val="both"/>
        <w:rPr>
          <w:rFonts w:ascii="Times New Roman" w:hAnsi="Times New Roman" w:cs="Times New Roman"/>
        </w:rPr>
      </w:pPr>
    </w:p>
    <w:p w14:paraId="71E57C3D" w14:textId="316D7311" w:rsidR="00FA14C2" w:rsidRPr="00C46092" w:rsidRDefault="00FA14C2"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The inevitable interplay of EU State aid with other policies and competences</w:t>
      </w:r>
      <w:r w:rsidR="0046322E" w:rsidRPr="00C46092">
        <w:rPr>
          <w:rFonts w:ascii="Times New Roman" w:hAnsi="Times New Roman" w:cs="Times New Roman"/>
          <w:b/>
          <w:bCs/>
        </w:rPr>
        <w:t>: dangerous liaisons</w:t>
      </w:r>
    </w:p>
    <w:p w14:paraId="149D971B" w14:textId="77777777" w:rsidR="00FA14C2" w:rsidRPr="00C46092" w:rsidRDefault="00FA14C2" w:rsidP="00D83FF4">
      <w:pPr>
        <w:ind w:left="360"/>
        <w:jc w:val="both"/>
        <w:rPr>
          <w:rFonts w:ascii="Times New Roman" w:hAnsi="Times New Roman" w:cs="Times New Roman"/>
        </w:rPr>
      </w:pPr>
    </w:p>
    <w:p w14:paraId="502E30DD" w14:textId="77777777" w:rsidR="00762523" w:rsidRDefault="003A017E" w:rsidP="00D83FF4">
      <w:pPr>
        <w:jc w:val="both"/>
        <w:rPr>
          <w:rFonts w:ascii="Times New Roman" w:hAnsi="Times New Roman" w:cs="Times New Roman"/>
        </w:rPr>
      </w:pPr>
      <w:r w:rsidRPr="00C46092">
        <w:rPr>
          <w:rFonts w:ascii="Times New Roman" w:hAnsi="Times New Roman" w:cs="Times New Roman"/>
        </w:rPr>
        <w:t xml:space="preserve">Now, crucially, it is in this </w:t>
      </w:r>
      <w:r w:rsidR="00AD7E09">
        <w:rPr>
          <w:rFonts w:ascii="Times New Roman" w:hAnsi="Times New Roman" w:cs="Times New Roman"/>
        </w:rPr>
        <w:t xml:space="preserve">discretionary </w:t>
      </w:r>
      <w:r w:rsidRPr="00C46092">
        <w:rPr>
          <w:rFonts w:ascii="Times New Roman" w:hAnsi="Times New Roman" w:cs="Times New Roman"/>
        </w:rPr>
        <w:t>power</w:t>
      </w:r>
      <w:r w:rsidR="00AD7E09">
        <w:rPr>
          <w:rFonts w:ascii="Times New Roman" w:hAnsi="Times New Roman" w:cs="Times New Roman"/>
        </w:rPr>
        <w:t xml:space="preserve"> of interpretation of exemptions</w:t>
      </w:r>
      <w:r w:rsidRPr="00C46092">
        <w:rPr>
          <w:rFonts w:ascii="Times New Roman" w:hAnsi="Times New Roman" w:cs="Times New Roman"/>
        </w:rPr>
        <w:t xml:space="preserve"> that we find the seeds of the most salient conflict in the field of EU State aid.</w:t>
      </w:r>
    </w:p>
    <w:p w14:paraId="2DACA9C0" w14:textId="77777777" w:rsidR="00762523" w:rsidRDefault="00762523" w:rsidP="00D83FF4">
      <w:pPr>
        <w:jc w:val="both"/>
        <w:rPr>
          <w:rFonts w:ascii="Times New Roman" w:hAnsi="Times New Roman" w:cs="Times New Roman"/>
        </w:rPr>
      </w:pPr>
    </w:p>
    <w:p w14:paraId="521B28FC" w14:textId="17157816" w:rsidR="00066CAB" w:rsidRPr="00C46092" w:rsidRDefault="003A017E" w:rsidP="00D83FF4">
      <w:pPr>
        <w:jc w:val="both"/>
        <w:rPr>
          <w:rFonts w:ascii="Times New Roman" w:hAnsi="Times New Roman" w:cs="Times New Roman"/>
        </w:rPr>
      </w:pPr>
      <w:r w:rsidRPr="00C46092">
        <w:rPr>
          <w:rFonts w:ascii="Times New Roman" w:hAnsi="Times New Roman" w:cs="Times New Roman"/>
        </w:rPr>
        <w:t xml:space="preserve">There are two aspects to this. </w:t>
      </w:r>
    </w:p>
    <w:p w14:paraId="5D33C6CA" w14:textId="77777777" w:rsidR="00066CAB" w:rsidRPr="00C46092" w:rsidRDefault="00066CAB" w:rsidP="00D83FF4">
      <w:pPr>
        <w:jc w:val="both"/>
        <w:rPr>
          <w:rFonts w:ascii="Times New Roman" w:hAnsi="Times New Roman" w:cs="Times New Roman"/>
        </w:rPr>
      </w:pPr>
    </w:p>
    <w:p w14:paraId="7F975C9F" w14:textId="177A85B4" w:rsidR="00E97738" w:rsidRDefault="003A017E" w:rsidP="00D83FF4">
      <w:pPr>
        <w:jc w:val="both"/>
        <w:rPr>
          <w:rFonts w:ascii="Times New Roman" w:hAnsi="Times New Roman" w:cs="Times New Roman"/>
        </w:rPr>
      </w:pPr>
      <w:r w:rsidRPr="00C46092">
        <w:rPr>
          <w:rFonts w:ascii="Times New Roman" w:hAnsi="Times New Roman" w:cs="Times New Roman"/>
        </w:rPr>
        <w:t xml:space="preserve">The first is how the Commission naturally exercises its action. The Commission acts in individual cases but, inevitably, through experience, it develops a policy. Devising a common </w:t>
      </w:r>
      <w:r w:rsidRPr="00C46092">
        <w:rPr>
          <w:rFonts w:ascii="Times New Roman" w:hAnsi="Times New Roman" w:cs="Times New Roman"/>
        </w:rPr>
        <w:lastRenderedPageBreak/>
        <w:t>and transparent approach to its investigative and decision powers is dictated by the need to ensure the proper exercise of administrative powers</w:t>
      </w:r>
      <w:r w:rsidR="00762523">
        <w:rPr>
          <w:rFonts w:ascii="Times New Roman" w:hAnsi="Times New Roman" w:cs="Times New Roman"/>
        </w:rPr>
        <w:t>.</w:t>
      </w:r>
      <w:r w:rsidRPr="00C46092">
        <w:rPr>
          <w:rFonts w:ascii="Times New Roman" w:hAnsi="Times New Roman" w:cs="Times New Roman"/>
        </w:rPr>
        <w:t xml:space="preserve"> </w:t>
      </w:r>
    </w:p>
    <w:p w14:paraId="7CB0DA9E" w14:textId="77777777" w:rsidR="00E97738" w:rsidRDefault="00E97738" w:rsidP="00D83FF4">
      <w:pPr>
        <w:jc w:val="both"/>
        <w:rPr>
          <w:rFonts w:ascii="Times New Roman" w:hAnsi="Times New Roman" w:cs="Times New Roman"/>
        </w:rPr>
      </w:pPr>
    </w:p>
    <w:p w14:paraId="31949EDF" w14:textId="3EE110BB" w:rsidR="00066CAB" w:rsidRPr="0055404A" w:rsidRDefault="00066CAB" w:rsidP="00D83FF4">
      <w:pPr>
        <w:jc w:val="both"/>
        <w:rPr>
          <w:rFonts w:ascii="Times New Roman" w:hAnsi="Times New Roman" w:cs="Times New Roman"/>
        </w:rPr>
      </w:pPr>
      <w:r w:rsidRPr="00C46092">
        <w:rPr>
          <w:rFonts w:ascii="Times New Roman" w:hAnsi="Times New Roman" w:cs="Times New Roman"/>
        </w:rPr>
        <w:t>That being said, one thing is the need to ensure consistency in decisions, quite another is the definition of the criteria of assessment of national measures and, more specifically, of the terms and conditions that are required in order to give the green light. There is indeed a thin line between simply ensuring that State aid is in line with one of the policy objectives provided for in the TFEU and substantially developing these policy objectives into a common European policy. It is the same line that distinguishes negative and positive integration</w:t>
      </w:r>
      <w:r w:rsidR="0055404A">
        <w:rPr>
          <w:rFonts w:ascii="Times New Roman" w:hAnsi="Times New Roman" w:cs="Times New Roman"/>
        </w:rPr>
        <w:t xml:space="preserve">, a very important line as both the Advocate General </w:t>
      </w:r>
      <w:r w:rsidR="00C73EAF">
        <w:rPr>
          <w:rFonts w:ascii="Times New Roman" w:hAnsi="Times New Roman" w:cs="Times New Roman"/>
        </w:rPr>
        <w:t xml:space="preserve">Hogan </w:t>
      </w:r>
      <w:r w:rsidR="0055404A">
        <w:rPr>
          <w:rFonts w:ascii="Times New Roman" w:hAnsi="Times New Roman" w:cs="Times New Roman"/>
        </w:rPr>
        <w:t xml:space="preserve">and the Court of Justice have recently highlighted in the </w:t>
      </w:r>
      <w:r w:rsidR="0055404A">
        <w:rPr>
          <w:rFonts w:ascii="Times New Roman" w:hAnsi="Times New Roman" w:cs="Times New Roman"/>
          <w:i/>
          <w:iCs/>
        </w:rPr>
        <w:t>Hin</w:t>
      </w:r>
      <w:r w:rsidR="00C73EAF">
        <w:rPr>
          <w:rFonts w:ascii="Times New Roman" w:hAnsi="Times New Roman" w:cs="Times New Roman"/>
          <w:i/>
          <w:iCs/>
        </w:rPr>
        <w:t>k</w:t>
      </w:r>
      <w:r w:rsidR="0055404A">
        <w:rPr>
          <w:rFonts w:ascii="Times New Roman" w:hAnsi="Times New Roman" w:cs="Times New Roman"/>
          <w:i/>
          <w:iCs/>
        </w:rPr>
        <w:t xml:space="preserve">ley Point </w:t>
      </w:r>
      <w:r w:rsidR="0055404A">
        <w:rPr>
          <w:rFonts w:ascii="Times New Roman" w:hAnsi="Times New Roman" w:cs="Times New Roman"/>
        </w:rPr>
        <w:t>case.</w:t>
      </w:r>
    </w:p>
    <w:p w14:paraId="622AD633" w14:textId="77777777" w:rsidR="00066CAB" w:rsidRPr="00C46092" w:rsidRDefault="00066CAB" w:rsidP="00D83FF4">
      <w:pPr>
        <w:jc w:val="both"/>
        <w:rPr>
          <w:rFonts w:ascii="Times New Roman" w:hAnsi="Times New Roman" w:cs="Times New Roman"/>
        </w:rPr>
      </w:pPr>
    </w:p>
    <w:p w14:paraId="3AE84B1B" w14:textId="60D64218" w:rsidR="00066CAB" w:rsidRPr="00C46092" w:rsidRDefault="00066CAB" w:rsidP="00D83FF4">
      <w:pPr>
        <w:jc w:val="both"/>
        <w:rPr>
          <w:rFonts w:ascii="Times New Roman" w:hAnsi="Times New Roman" w:cs="Times New Roman"/>
        </w:rPr>
      </w:pPr>
      <w:r w:rsidRPr="00C46092">
        <w:rPr>
          <w:rFonts w:ascii="Times New Roman" w:hAnsi="Times New Roman" w:cs="Times New Roman"/>
        </w:rPr>
        <w:t xml:space="preserve">The second aspect is that not only is </w:t>
      </w:r>
      <w:r w:rsidR="003A017E" w:rsidRPr="00C46092">
        <w:rPr>
          <w:rFonts w:ascii="Times New Roman" w:hAnsi="Times New Roman" w:cs="Times New Roman"/>
        </w:rPr>
        <w:t xml:space="preserve">State aid one of the most powerful instruments in the hands of governments </w:t>
      </w:r>
      <w:r w:rsidRPr="00C46092">
        <w:rPr>
          <w:rFonts w:ascii="Times New Roman" w:hAnsi="Times New Roman" w:cs="Times New Roman"/>
        </w:rPr>
        <w:t>but it is also one of the most neutral and pervasive inasmuch as it</w:t>
      </w:r>
      <w:r w:rsidR="003A017E" w:rsidRPr="00C46092">
        <w:rPr>
          <w:rFonts w:ascii="Times New Roman" w:hAnsi="Times New Roman" w:cs="Times New Roman"/>
        </w:rPr>
        <w:t xml:space="preserve"> can apply in any sector of the economy or policy field. </w:t>
      </w:r>
      <w:r w:rsidRPr="00C46092">
        <w:rPr>
          <w:rFonts w:ascii="Times New Roman" w:hAnsi="Times New Roman" w:cs="Times New Roman"/>
        </w:rPr>
        <w:t>This leads to an inevitable overlap between the State aid field and endless other fields regulated throughout EU law. But, the share of competence, and the respective powers of the EU vis-à-vis the Member States, change significantly from one policy area to another. The Commission may well not have the same powers in each of these areas.</w:t>
      </w:r>
      <w:r w:rsidR="00413E5A" w:rsidRPr="00C46092">
        <w:rPr>
          <w:rFonts w:ascii="Times New Roman" w:hAnsi="Times New Roman" w:cs="Times New Roman"/>
        </w:rPr>
        <w:t xml:space="preserve"> From another perspective, the EU power to harmonise national laws into common laws is not universal and, importantly, is not left completely in the hands of the Commission.</w:t>
      </w:r>
    </w:p>
    <w:p w14:paraId="256DB879" w14:textId="77777777" w:rsidR="00066CAB" w:rsidRPr="00C46092" w:rsidRDefault="00066CAB" w:rsidP="00D83FF4">
      <w:pPr>
        <w:jc w:val="both"/>
        <w:rPr>
          <w:rFonts w:ascii="Times New Roman" w:hAnsi="Times New Roman" w:cs="Times New Roman"/>
        </w:rPr>
      </w:pPr>
    </w:p>
    <w:p w14:paraId="287F8C1A" w14:textId="56438713" w:rsidR="00596140" w:rsidRPr="00C46092" w:rsidRDefault="00066CAB" w:rsidP="00D83FF4">
      <w:pPr>
        <w:jc w:val="both"/>
        <w:rPr>
          <w:rFonts w:ascii="Times New Roman" w:hAnsi="Times New Roman" w:cs="Times New Roman"/>
        </w:rPr>
      </w:pPr>
      <w:r w:rsidRPr="00C46092">
        <w:rPr>
          <w:rFonts w:ascii="Times New Roman" w:hAnsi="Times New Roman" w:cs="Times New Roman"/>
        </w:rPr>
        <w:t xml:space="preserve">This practically means that the exercise of the compatibility assessment in State aid </w:t>
      </w:r>
      <w:r w:rsidRPr="00C46092">
        <w:rPr>
          <w:rFonts w:ascii="Times New Roman" w:hAnsi="Times New Roman" w:cs="Times New Roman"/>
          <w:i/>
          <w:iCs/>
        </w:rPr>
        <w:t>may</w:t>
      </w:r>
      <w:r w:rsidRPr="00C46092">
        <w:rPr>
          <w:rFonts w:ascii="Times New Roman" w:hAnsi="Times New Roman" w:cs="Times New Roman"/>
        </w:rPr>
        <w:t xml:space="preserve"> easily enter into conflict with the prerogatives </w:t>
      </w:r>
      <w:r w:rsidR="00413E5A" w:rsidRPr="00C46092">
        <w:rPr>
          <w:rFonts w:ascii="Times New Roman" w:hAnsi="Times New Roman" w:cs="Times New Roman"/>
        </w:rPr>
        <w:t>(and</w:t>
      </w:r>
      <w:r w:rsidR="00E97738">
        <w:rPr>
          <w:rFonts w:ascii="Times New Roman" w:hAnsi="Times New Roman" w:cs="Times New Roman"/>
        </w:rPr>
        <w:t>, especially,</w:t>
      </w:r>
      <w:r w:rsidR="00413E5A" w:rsidRPr="00C46092">
        <w:rPr>
          <w:rFonts w:ascii="Times New Roman" w:hAnsi="Times New Roman" w:cs="Times New Roman"/>
        </w:rPr>
        <w:t xml:space="preserve"> the limits of the prerogatives) </w:t>
      </w:r>
      <w:r w:rsidRPr="00C46092">
        <w:rPr>
          <w:rFonts w:ascii="Times New Roman" w:hAnsi="Times New Roman" w:cs="Times New Roman"/>
        </w:rPr>
        <w:t>of the EU</w:t>
      </w:r>
      <w:r w:rsidR="00413E5A" w:rsidRPr="00C46092">
        <w:rPr>
          <w:rFonts w:ascii="Times New Roman" w:hAnsi="Times New Roman" w:cs="Times New Roman"/>
        </w:rPr>
        <w:t>,</w:t>
      </w:r>
      <w:r w:rsidRPr="00C46092">
        <w:rPr>
          <w:rFonts w:ascii="Times New Roman" w:hAnsi="Times New Roman" w:cs="Times New Roman"/>
        </w:rPr>
        <w:t xml:space="preserve"> and more specifically the Commission</w:t>
      </w:r>
      <w:r w:rsidR="00413E5A" w:rsidRPr="00C46092">
        <w:rPr>
          <w:rFonts w:ascii="Times New Roman" w:hAnsi="Times New Roman" w:cs="Times New Roman"/>
        </w:rPr>
        <w:t>,</w:t>
      </w:r>
      <w:r w:rsidRPr="00C46092">
        <w:rPr>
          <w:rFonts w:ascii="Times New Roman" w:hAnsi="Times New Roman" w:cs="Times New Roman"/>
        </w:rPr>
        <w:t xml:space="preserve"> in other relevant policy fields. This danger is all the more present if the Commission’s action in State aid </w:t>
      </w:r>
      <w:r w:rsidR="00413E5A" w:rsidRPr="00C46092">
        <w:rPr>
          <w:rFonts w:ascii="Times New Roman" w:hAnsi="Times New Roman" w:cs="Times New Roman"/>
        </w:rPr>
        <w:t xml:space="preserve">can be characterised as </w:t>
      </w:r>
      <w:r w:rsidR="00413E5A" w:rsidRPr="00C46092">
        <w:rPr>
          <w:rFonts w:ascii="Times New Roman" w:hAnsi="Times New Roman" w:cs="Times New Roman"/>
          <w:i/>
          <w:iCs/>
        </w:rPr>
        <w:t xml:space="preserve">de facto </w:t>
      </w:r>
      <w:r w:rsidR="00413E5A" w:rsidRPr="00C46092">
        <w:rPr>
          <w:rFonts w:ascii="Times New Roman" w:hAnsi="Times New Roman" w:cs="Times New Roman"/>
        </w:rPr>
        <w:t xml:space="preserve">harmonisation of national </w:t>
      </w:r>
      <w:r w:rsidR="00E2379F" w:rsidRPr="00C46092">
        <w:rPr>
          <w:rFonts w:ascii="Times New Roman" w:hAnsi="Times New Roman" w:cs="Times New Roman"/>
        </w:rPr>
        <w:t xml:space="preserve">tax and </w:t>
      </w:r>
      <w:r w:rsidR="00413E5A" w:rsidRPr="00C46092">
        <w:rPr>
          <w:rFonts w:ascii="Times New Roman" w:hAnsi="Times New Roman" w:cs="Times New Roman"/>
        </w:rPr>
        <w:t>spending policies.</w:t>
      </w:r>
      <w:r w:rsidR="00D67691">
        <w:rPr>
          <w:rFonts w:ascii="Times New Roman" w:hAnsi="Times New Roman" w:cs="Times New Roman"/>
        </w:rPr>
        <w:t xml:space="preserve"> Fundamentally, this is a rule of law point.</w:t>
      </w:r>
    </w:p>
    <w:p w14:paraId="0F01E583" w14:textId="2AA6F65C" w:rsidR="00596140" w:rsidRPr="00C46092" w:rsidRDefault="00596140" w:rsidP="00D83FF4">
      <w:pPr>
        <w:jc w:val="both"/>
        <w:rPr>
          <w:rFonts w:ascii="Times New Roman" w:hAnsi="Times New Roman" w:cs="Times New Roman"/>
        </w:rPr>
      </w:pPr>
    </w:p>
    <w:p w14:paraId="52E3B599" w14:textId="090F7563" w:rsidR="005726C9" w:rsidRPr="00C46092" w:rsidRDefault="00FA14C2" w:rsidP="00D83FF4">
      <w:pPr>
        <w:jc w:val="both"/>
        <w:rPr>
          <w:rFonts w:ascii="Times New Roman" w:hAnsi="Times New Roman" w:cs="Times New Roman"/>
        </w:rPr>
      </w:pPr>
      <w:r w:rsidRPr="00C46092">
        <w:rPr>
          <w:rFonts w:ascii="Times New Roman" w:hAnsi="Times New Roman" w:cs="Times New Roman"/>
        </w:rPr>
        <w:t>Arguably, as a general interpretative approach, while the exercise of the State aid competence should obviously consider the broader context of EU law and policy,</w:t>
      </w:r>
      <w:r w:rsidR="00D67691">
        <w:rPr>
          <w:rStyle w:val="FootnoteReference"/>
          <w:rFonts w:ascii="Times New Roman" w:hAnsi="Times New Roman" w:cs="Times New Roman"/>
        </w:rPr>
        <w:footnoteReference w:id="20"/>
      </w:r>
      <w:r w:rsidRPr="00C46092">
        <w:rPr>
          <w:rFonts w:ascii="Times New Roman" w:hAnsi="Times New Roman" w:cs="Times New Roman"/>
        </w:rPr>
        <w:t xml:space="preserve"> its generality should give way to the specificity of other specific policy areas when these are implicated. In other words, the </w:t>
      </w:r>
      <w:r w:rsidRPr="00C46092">
        <w:rPr>
          <w:rFonts w:ascii="Times New Roman" w:hAnsi="Times New Roman" w:cs="Times New Roman"/>
          <w:i/>
          <w:iCs/>
        </w:rPr>
        <w:t xml:space="preserve">specificity </w:t>
      </w:r>
      <w:r w:rsidRPr="00C46092">
        <w:rPr>
          <w:rFonts w:ascii="Times New Roman" w:hAnsi="Times New Roman" w:cs="Times New Roman"/>
        </w:rPr>
        <w:t xml:space="preserve">of State aid is the control of the </w:t>
      </w:r>
      <w:r w:rsidRPr="00C46092">
        <w:rPr>
          <w:rFonts w:ascii="Times New Roman" w:hAnsi="Times New Roman" w:cs="Times New Roman"/>
          <w:i/>
          <w:iCs/>
        </w:rPr>
        <w:t>distortions of competition within the internal market</w:t>
      </w:r>
      <w:r w:rsidRPr="00C46092">
        <w:rPr>
          <w:rFonts w:ascii="Times New Roman" w:hAnsi="Times New Roman" w:cs="Times New Roman"/>
        </w:rPr>
        <w:t xml:space="preserve">. The specific regulation of the key tenets of </w:t>
      </w:r>
      <w:r w:rsidR="00FA0FEF">
        <w:rPr>
          <w:rFonts w:ascii="Times New Roman" w:hAnsi="Times New Roman" w:cs="Times New Roman"/>
        </w:rPr>
        <w:t>for example tax or industrial</w:t>
      </w:r>
      <w:r w:rsidRPr="00C46092">
        <w:rPr>
          <w:rFonts w:ascii="Times New Roman" w:hAnsi="Times New Roman" w:cs="Times New Roman"/>
        </w:rPr>
        <w:t xml:space="preserve"> policy should, by contrast, be found elsewhere and </w:t>
      </w:r>
      <w:r w:rsidR="00E97738">
        <w:rPr>
          <w:rFonts w:ascii="Times New Roman" w:hAnsi="Times New Roman" w:cs="Times New Roman"/>
        </w:rPr>
        <w:t>be</w:t>
      </w:r>
      <w:r w:rsidRPr="00C46092">
        <w:rPr>
          <w:rFonts w:ascii="Times New Roman" w:hAnsi="Times New Roman" w:cs="Times New Roman"/>
        </w:rPr>
        <w:t xml:space="preserve"> subject to</w:t>
      </w:r>
      <w:r w:rsidR="00514E01">
        <w:rPr>
          <w:rFonts w:ascii="Times New Roman" w:hAnsi="Times New Roman" w:cs="Times New Roman"/>
        </w:rPr>
        <w:t xml:space="preserve"> their</w:t>
      </w:r>
      <w:r w:rsidRPr="00C46092">
        <w:rPr>
          <w:rFonts w:ascii="Times New Roman" w:hAnsi="Times New Roman" w:cs="Times New Roman"/>
        </w:rPr>
        <w:t xml:space="preserve"> different constitutional, institutional and procedural paraphernalia. </w:t>
      </w:r>
      <w:r w:rsidR="00FC2F24">
        <w:rPr>
          <w:rFonts w:ascii="Times New Roman" w:hAnsi="Times New Roman" w:cs="Times New Roman"/>
        </w:rPr>
        <w:t xml:space="preserve">The </w:t>
      </w:r>
      <w:r w:rsidRPr="00C46092">
        <w:rPr>
          <w:rFonts w:ascii="Times New Roman" w:hAnsi="Times New Roman" w:cs="Times New Roman"/>
        </w:rPr>
        <w:t xml:space="preserve">State aid assessment </w:t>
      </w:r>
      <w:r w:rsidR="00FC2F24">
        <w:rPr>
          <w:rFonts w:ascii="Times New Roman" w:hAnsi="Times New Roman" w:cs="Times New Roman"/>
        </w:rPr>
        <w:t xml:space="preserve">can </w:t>
      </w:r>
      <w:r w:rsidRPr="00C46092">
        <w:rPr>
          <w:rFonts w:ascii="Times New Roman" w:hAnsi="Times New Roman" w:cs="Times New Roman"/>
        </w:rPr>
        <w:t xml:space="preserve">that has to take into account of policy objectives regulated elsewhere should simply </w:t>
      </w:r>
      <w:r w:rsidR="00514E01">
        <w:rPr>
          <w:rFonts w:ascii="Times New Roman" w:hAnsi="Times New Roman" w:cs="Times New Roman"/>
        </w:rPr>
        <w:t>consider them to the extent that it is necessary to acknowledge the redeeming feature of distorting subsidies and not to positively shape that subsidy as tool of a common industrial policy</w:t>
      </w:r>
      <w:r w:rsidRPr="00C46092">
        <w:rPr>
          <w:rFonts w:ascii="Times New Roman" w:hAnsi="Times New Roman" w:cs="Times New Roman"/>
        </w:rPr>
        <w:t>.</w:t>
      </w:r>
    </w:p>
    <w:p w14:paraId="4EB913F1" w14:textId="77777777" w:rsidR="00FA14C2" w:rsidRPr="00C46092" w:rsidRDefault="00FA14C2" w:rsidP="00D83FF4">
      <w:pPr>
        <w:jc w:val="both"/>
        <w:rPr>
          <w:rFonts w:ascii="Times New Roman" w:hAnsi="Times New Roman" w:cs="Times New Roman"/>
        </w:rPr>
      </w:pPr>
    </w:p>
    <w:p w14:paraId="036C64C6" w14:textId="77777777" w:rsidR="005726C9" w:rsidRPr="00C46092" w:rsidRDefault="005726C9" w:rsidP="00D83FF4">
      <w:pPr>
        <w:jc w:val="both"/>
        <w:rPr>
          <w:rFonts w:ascii="Times New Roman" w:hAnsi="Times New Roman" w:cs="Times New Roman"/>
        </w:rPr>
      </w:pPr>
    </w:p>
    <w:p w14:paraId="6C6BEDFE" w14:textId="17CDAD93" w:rsidR="005726C9" w:rsidRPr="00C46092" w:rsidRDefault="005726C9"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 xml:space="preserve">The </w:t>
      </w:r>
      <w:r w:rsidR="0046322E" w:rsidRPr="00C46092">
        <w:rPr>
          <w:rFonts w:ascii="Times New Roman" w:hAnsi="Times New Roman" w:cs="Times New Roman"/>
          <w:b/>
          <w:bCs/>
        </w:rPr>
        <w:t xml:space="preserve">State aid </w:t>
      </w:r>
      <w:r w:rsidRPr="00C46092">
        <w:rPr>
          <w:rFonts w:ascii="Times New Roman" w:hAnsi="Times New Roman" w:cs="Times New Roman"/>
          <w:b/>
          <w:bCs/>
        </w:rPr>
        <w:t>Constitution dealing with crisis-times</w:t>
      </w:r>
      <w:r w:rsidR="00EC6149" w:rsidRPr="00C46092">
        <w:rPr>
          <w:rFonts w:ascii="Times New Roman" w:hAnsi="Times New Roman" w:cs="Times New Roman"/>
          <w:b/>
          <w:bCs/>
        </w:rPr>
        <w:t>: a revolution?</w:t>
      </w:r>
    </w:p>
    <w:p w14:paraId="54A8127C" w14:textId="77777777" w:rsidR="00596140" w:rsidRPr="00C46092" w:rsidRDefault="00596140" w:rsidP="00D83FF4">
      <w:pPr>
        <w:jc w:val="both"/>
        <w:rPr>
          <w:rFonts w:ascii="Times New Roman" w:hAnsi="Times New Roman" w:cs="Times New Roman"/>
        </w:rPr>
      </w:pPr>
    </w:p>
    <w:p w14:paraId="7D354887" w14:textId="1D2C776E" w:rsidR="00AD7E09" w:rsidRDefault="00AD7E09" w:rsidP="00D83FF4">
      <w:pPr>
        <w:jc w:val="both"/>
        <w:rPr>
          <w:rFonts w:ascii="Times New Roman" w:hAnsi="Times New Roman" w:cs="Times New Roman"/>
        </w:rPr>
      </w:pPr>
      <w:r>
        <w:rPr>
          <w:rFonts w:ascii="Times New Roman" w:hAnsi="Times New Roman" w:cs="Times New Roman"/>
        </w:rPr>
        <w:t xml:space="preserve">The main point of the previous section was that the main responsibility of the European </w:t>
      </w:r>
      <w:r w:rsidR="005726C9" w:rsidRPr="00C46092">
        <w:rPr>
          <w:rFonts w:ascii="Times New Roman" w:hAnsi="Times New Roman" w:cs="Times New Roman"/>
        </w:rPr>
        <w:t>Commission</w:t>
      </w:r>
      <w:r>
        <w:rPr>
          <w:rFonts w:ascii="Times New Roman" w:hAnsi="Times New Roman" w:cs="Times New Roman"/>
        </w:rPr>
        <w:t xml:space="preserve"> within State aid control is to assess</w:t>
      </w:r>
      <w:r w:rsidR="005726C9" w:rsidRPr="00C46092">
        <w:rPr>
          <w:rFonts w:ascii="Times New Roman" w:hAnsi="Times New Roman" w:cs="Times New Roman"/>
        </w:rPr>
        <w:t xml:space="preserve"> State aid measures, </w:t>
      </w:r>
      <w:r>
        <w:rPr>
          <w:rFonts w:ascii="Times New Roman" w:hAnsi="Times New Roman" w:cs="Times New Roman"/>
        </w:rPr>
        <w:t xml:space="preserve">especially from the perspectives of the possible negative interferences with the Internal Market, and not to </w:t>
      </w:r>
      <w:r w:rsidR="005726C9" w:rsidRPr="00C46092">
        <w:rPr>
          <w:rFonts w:ascii="Times New Roman" w:hAnsi="Times New Roman" w:cs="Times New Roman"/>
        </w:rPr>
        <w:t>harmonis</w:t>
      </w:r>
      <w:r>
        <w:rPr>
          <w:rFonts w:ascii="Times New Roman" w:hAnsi="Times New Roman" w:cs="Times New Roman"/>
        </w:rPr>
        <w:t xml:space="preserve">e national policies </w:t>
      </w:r>
      <w:r w:rsidR="005726C9" w:rsidRPr="00C46092">
        <w:rPr>
          <w:rFonts w:ascii="Times New Roman" w:hAnsi="Times New Roman" w:cs="Times New Roman"/>
        </w:rPr>
        <w:t>by the back door</w:t>
      </w:r>
      <w:r>
        <w:rPr>
          <w:rFonts w:ascii="Times New Roman" w:hAnsi="Times New Roman" w:cs="Times New Roman"/>
        </w:rPr>
        <w:t>. Using a different jargon, State aid control is about negative, not positive integration.</w:t>
      </w:r>
    </w:p>
    <w:p w14:paraId="4204F857" w14:textId="77777777" w:rsidR="00AD7E09" w:rsidRDefault="00AD7E09" w:rsidP="00D83FF4">
      <w:pPr>
        <w:jc w:val="both"/>
        <w:rPr>
          <w:rFonts w:ascii="Times New Roman" w:hAnsi="Times New Roman" w:cs="Times New Roman"/>
        </w:rPr>
      </w:pPr>
    </w:p>
    <w:p w14:paraId="11AFDA00" w14:textId="1A8C63B5" w:rsidR="00596140" w:rsidRDefault="00AD7E09" w:rsidP="00D83FF4">
      <w:pPr>
        <w:jc w:val="both"/>
        <w:rPr>
          <w:rFonts w:ascii="Times New Roman" w:hAnsi="Times New Roman" w:cs="Times New Roman"/>
        </w:rPr>
      </w:pPr>
      <w:r>
        <w:rPr>
          <w:rFonts w:ascii="Times New Roman" w:hAnsi="Times New Roman" w:cs="Times New Roman"/>
        </w:rPr>
        <w:t xml:space="preserve">Now, the actual administration of State aid control in crisis-times has witnessed a significant shift in EU State aid control, with a progressive loss of focus with respect to the distortions in the Internal Market in favour of an increasingly closer attention to the pursuit – through national State aid – of common European policy objectives. The very latest iteration </w:t>
      </w:r>
      <w:r w:rsidR="003F2968">
        <w:rPr>
          <w:rFonts w:ascii="Times New Roman" w:hAnsi="Times New Roman" w:cs="Times New Roman"/>
        </w:rPr>
        <w:t xml:space="preserve">of Commission’s soft law </w:t>
      </w:r>
      <w:r>
        <w:rPr>
          <w:rFonts w:ascii="Times New Roman" w:hAnsi="Times New Roman" w:cs="Times New Roman"/>
        </w:rPr>
        <w:t>pits these European policy objectives against the increasingly complex geopolitical scenario and the need to ensure that the Internal Market is both competitive and secure.</w:t>
      </w:r>
    </w:p>
    <w:p w14:paraId="660D4C3E" w14:textId="77777777" w:rsidR="00AD7E09" w:rsidRDefault="00AD7E09" w:rsidP="00D83FF4">
      <w:pPr>
        <w:jc w:val="both"/>
        <w:rPr>
          <w:rFonts w:ascii="Times New Roman" w:hAnsi="Times New Roman" w:cs="Times New Roman"/>
        </w:rPr>
      </w:pPr>
    </w:p>
    <w:p w14:paraId="3334C4DC" w14:textId="4E50AE97" w:rsidR="00CA13A6" w:rsidRDefault="009815C7" w:rsidP="00D83FF4">
      <w:pPr>
        <w:jc w:val="both"/>
        <w:rPr>
          <w:rFonts w:ascii="Times New Roman" w:hAnsi="Times New Roman" w:cs="Times New Roman"/>
        </w:rPr>
      </w:pPr>
      <w:r>
        <w:rPr>
          <w:rFonts w:ascii="Times New Roman" w:hAnsi="Times New Roman" w:cs="Times New Roman"/>
        </w:rPr>
        <w:t xml:space="preserve">The general context of the various soft law instruments introduced by the Commission to </w:t>
      </w:r>
      <w:r w:rsidRPr="009815C7">
        <w:rPr>
          <w:rFonts w:ascii="Times New Roman" w:hAnsi="Times New Roman" w:cs="Times New Roman"/>
        </w:rPr>
        <w:t>tackle crisis-aid is already one scenario where the large majority of State aid is considered compatible with the Internal Market. The most recent State Aid Scoreboard</w:t>
      </w:r>
      <w:r w:rsidR="00CC5C76">
        <w:rPr>
          <w:rStyle w:val="FootnoteReference"/>
          <w:rFonts w:ascii="Times New Roman" w:hAnsi="Times New Roman" w:cs="Times New Roman"/>
        </w:rPr>
        <w:footnoteReference w:id="21"/>
      </w:r>
      <w:r w:rsidRPr="009815C7">
        <w:rPr>
          <w:rFonts w:ascii="Times New Roman" w:hAnsi="Times New Roman" w:cs="Times New Roman"/>
        </w:rPr>
        <w:t xml:space="preserve"> shows that in 2024 the new block exempted measures account for 95% of total new non-crisis measures</w:t>
      </w:r>
      <w:r w:rsidR="00CC5C76">
        <w:rPr>
          <w:rFonts w:ascii="Times New Roman" w:hAnsi="Times New Roman" w:cs="Times New Roman"/>
        </w:rPr>
        <w:t>. “</w:t>
      </w:r>
      <w:r w:rsidR="00CC5C76" w:rsidRPr="00CC5C76">
        <w:rPr>
          <w:rFonts w:ascii="Times New Roman" w:hAnsi="Times New Roman" w:cs="Times New Roman"/>
        </w:rPr>
        <w:t>While Member States are progressively using more block-exempted measures, notified measures show a remarkable decreasing trend</w:t>
      </w:r>
      <w:r w:rsidR="00CC5C76">
        <w:rPr>
          <w:rFonts w:ascii="Times New Roman" w:hAnsi="Times New Roman" w:cs="Times New Roman"/>
        </w:rPr>
        <w:t>.”</w:t>
      </w:r>
      <w:r w:rsidR="00CC5C76">
        <w:rPr>
          <w:rStyle w:val="FootnoteReference"/>
          <w:rFonts w:ascii="Times New Roman" w:hAnsi="Times New Roman" w:cs="Times New Roman"/>
        </w:rPr>
        <w:footnoteReference w:id="22"/>
      </w:r>
      <w:r w:rsidR="00CC5C76">
        <w:rPr>
          <w:rFonts w:ascii="Times New Roman" w:hAnsi="Times New Roman" w:cs="Times New Roman"/>
        </w:rPr>
        <w:t xml:space="preserve"> </w:t>
      </w:r>
      <w:r w:rsidR="00CA13A6">
        <w:rPr>
          <w:rFonts w:ascii="Times New Roman" w:hAnsi="Times New Roman" w:cs="Times New Roman"/>
        </w:rPr>
        <w:t>This is the best example of Europeanisation in action.</w:t>
      </w:r>
      <w:r w:rsidR="00CA13A6">
        <w:rPr>
          <w:rStyle w:val="FootnoteReference"/>
          <w:rFonts w:ascii="Times New Roman" w:hAnsi="Times New Roman" w:cs="Times New Roman"/>
        </w:rPr>
        <w:footnoteReference w:id="23"/>
      </w:r>
    </w:p>
    <w:p w14:paraId="2B30AFF2" w14:textId="77777777" w:rsidR="00CA13A6" w:rsidRDefault="00CA13A6" w:rsidP="00D83FF4">
      <w:pPr>
        <w:jc w:val="both"/>
        <w:rPr>
          <w:rFonts w:ascii="Times New Roman" w:hAnsi="Times New Roman" w:cs="Times New Roman"/>
        </w:rPr>
      </w:pPr>
    </w:p>
    <w:p w14:paraId="19546AA8" w14:textId="0A70F9ED" w:rsidR="00CC5C76" w:rsidRDefault="00CC5C76" w:rsidP="00D83FF4">
      <w:pPr>
        <w:jc w:val="both"/>
        <w:rPr>
          <w:rFonts w:ascii="Times New Roman" w:hAnsi="Times New Roman" w:cs="Times New Roman"/>
        </w:rPr>
      </w:pPr>
      <w:r>
        <w:rPr>
          <w:rFonts w:ascii="Times New Roman" w:hAnsi="Times New Roman" w:cs="Times New Roman"/>
        </w:rPr>
        <w:t>Since, however, block-exempted aid cannot exceed provided ceilings, GBER (“Global Block Exemption Regulation”) measures involve only 36% of total expenditure. Though fewer, notified measures involve significant amounts of financial resources.</w:t>
      </w:r>
    </w:p>
    <w:p w14:paraId="049639DF" w14:textId="77777777" w:rsidR="00CC5C76" w:rsidRDefault="00CC5C76" w:rsidP="00D83FF4">
      <w:pPr>
        <w:jc w:val="both"/>
        <w:rPr>
          <w:rFonts w:ascii="Times New Roman" w:hAnsi="Times New Roman" w:cs="Times New Roman"/>
        </w:rPr>
      </w:pPr>
    </w:p>
    <w:p w14:paraId="332751F6" w14:textId="7B5CE3FD" w:rsidR="00527B91" w:rsidRDefault="00CC5C76" w:rsidP="00D83FF4">
      <w:pPr>
        <w:jc w:val="both"/>
        <w:rPr>
          <w:rFonts w:ascii="Times New Roman" w:hAnsi="Times New Roman" w:cs="Times New Roman"/>
        </w:rPr>
      </w:pPr>
      <w:r>
        <w:rPr>
          <w:rFonts w:ascii="Times New Roman" w:hAnsi="Times New Roman" w:cs="Times New Roman"/>
        </w:rPr>
        <w:t>Against this scenario, what, however, is more interesting is the status of State aid measures under the various crisis-aid frameworks. What emerges from an analysis of the various frameworks is a substantial lessening of EU State aid control, meaning that only one concept seems to emerge – that of justification.</w:t>
      </w:r>
      <w:r w:rsidR="001A7117">
        <w:rPr>
          <w:rStyle w:val="FootnoteReference"/>
          <w:rFonts w:ascii="Times New Roman" w:hAnsi="Times New Roman" w:cs="Times New Roman"/>
        </w:rPr>
        <w:footnoteReference w:id="24"/>
      </w:r>
    </w:p>
    <w:p w14:paraId="79060472" w14:textId="77777777" w:rsidR="00527B91" w:rsidRDefault="00527B91" w:rsidP="00D83FF4">
      <w:pPr>
        <w:jc w:val="both"/>
        <w:rPr>
          <w:rFonts w:ascii="Times New Roman" w:hAnsi="Times New Roman" w:cs="Times New Roman"/>
        </w:rPr>
      </w:pPr>
    </w:p>
    <w:p w14:paraId="5D1E4D4E" w14:textId="5DB81156" w:rsidR="00B231EF" w:rsidRPr="00527B91" w:rsidRDefault="00B231EF" w:rsidP="00D83FF4">
      <w:pPr>
        <w:jc w:val="both"/>
        <w:rPr>
          <w:rFonts w:ascii="Times New Roman" w:hAnsi="Times New Roman" w:cs="Times New Roman"/>
        </w:rPr>
      </w:pPr>
      <w:r>
        <w:rPr>
          <w:rFonts w:ascii="Times New Roman" w:hAnsi="Times New Roman" w:cs="Times New Roman"/>
        </w:rPr>
        <w:t xml:space="preserve">Two types of aid have been regulated through </w:t>
      </w:r>
      <w:r w:rsidRPr="00B231EF">
        <w:rPr>
          <w:rFonts w:ascii="Times New Roman" w:hAnsi="Times New Roman" w:cs="Times New Roman"/>
        </w:rPr>
        <w:t>frameworks, the “crisis aid” proper and so-called “transition measures” which “focus on sectoral development aimed at fostering long-term economic growth and resilience within affected sectors.”</w:t>
      </w:r>
      <w:r w:rsidRPr="00B231EF">
        <w:rPr>
          <w:rStyle w:val="FootnoteReference"/>
          <w:rFonts w:ascii="Times New Roman" w:hAnsi="Times New Roman" w:cs="Times New Roman"/>
        </w:rPr>
        <w:footnoteReference w:id="25"/>
      </w:r>
      <w:r w:rsidR="00527B91">
        <w:rPr>
          <w:rFonts w:ascii="Times New Roman" w:hAnsi="Times New Roman" w:cs="Times New Roman"/>
        </w:rPr>
        <w:t xml:space="preserve"> </w:t>
      </w:r>
      <w:r>
        <w:rPr>
          <w:rFonts w:ascii="Times New Roman" w:hAnsi="Times New Roman" w:cs="Times New Roman"/>
        </w:rPr>
        <w:t xml:space="preserve">The practical result of these frameworks is that the large majority of aid is eventually justified. Numerous are the examples of </w:t>
      </w:r>
      <w:r w:rsidR="00751EA8">
        <w:rPr>
          <w:rFonts w:ascii="Times New Roman" w:hAnsi="Times New Roman" w:cs="Times New Roman"/>
        </w:rPr>
        <w:t xml:space="preserve">the </w:t>
      </w:r>
      <w:r>
        <w:rPr>
          <w:rFonts w:ascii="Times New Roman" w:hAnsi="Times New Roman" w:cs="Times New Roman"/>
        </w:rPr>
        <w:t>rules and cases where the possible distortions to the working of the Internal Market have been downplayed and the pursuit of a positive policy objective has been centred-piece.</w:t>
      </w:r>
    </w:p>
    <w:p w14:paraId="6B8A7FA7" w14:textId="77777777" w:rsidR="00CC5C76" w:rsidRDefault="00CC5C76" w:rsidP="00D83FF4">
      <w:pPr>
        <w:jc w:val="both"/>
        <w:rPr>
          <w:rFonts w:ascii="Times New Roman" w:hAnsi="Times New Roman" w:cs="Times New Roman"/>
        </w:rPr>
      </w:pPr>
    </w:p>
    <w:p w14:paraId="2C552526" w14:textId="37A6C041" w:rsidR="00527B91" w:rsidRDefault="00CA13A6" w:rsidP="00D83FF4">
      <w:pPr>
        <w:jc w:val="both"/>
        <w:rPr>
          <w:rFonts w:ascii="Times New Roman" w:hAnsi="Times New Roman" w:cs="Times New Roman"/>
        </w:rPr>
      </w:pPr>
      <w:r>
        <w:rPr>
          <w:rFonts w:ascii="Times New Roman" w:hAnsi="Times New Roman" w:cs="Times New Roman"/>
        </w:rPr>
        <w:t xml:space="preserve">How has this relaxation of State aid control taken place? The Temporary Frameworks often provide </w:t>
      </w:r>
      <w:r w:rsidRPr="00C46092">
        <w:rPr>
          <w:rFonts w:ascii="Times New Roman" w:hAnsi="Times New Roman" w:cs="Times New Roman"/>
        </w:rPr>
        <w:t xml:space="preserve">higher ceilings, no conditions, no </w:t>
      </w:r>
      <w:r>
        <w:rPr>
          <w:rFonts w:ascii="Times New Roman" w:hAnsi="Times New Roman" w:cs="Times New Roman"/>
        </w:rPr>
        <w:t xml:space="preserve">obligations of </w:t>
      </w:r>
      <w:r w:rsidRPr="00C46092">
        <w:rPr>
          <w:rFonts w:ascii="Times New Roman" w:hAnsi="Times New Roman" w:cs="Times New Roman"/>
        </w:rPr>
        <w:t xml:space="preserve">notifications, use of presumptions, </w:t>
      </w:r>
      <w:r>
        <w:rPr>
          <w:rFonts w:ascii="Times New Roman" w:hAnsi="Times New Roman" w:cs="Times New Roman"/>
        </w:rPr>
        <w:t xml:space="preserve">and an </w:t>
      </w:r>
      <w:r w:rsidRPr="00C46092">
        <w:rPr>
          <w:rFonts w:ascii="Times New Roman" w:hAnsi="Times New Roman" w:cs="Times New Roman"/>
        </w:rPr>
        <w:t>increasing generalisation of matching aid</w:t>
      </w:r>
      <w:r>
        <w:rPr>
          <w:rFonts w:ascii="Times New Roman" w:hAnsi="Times New Roman" w:cs="Times New Roman"/>
        </w:rPr>
        <w:t>.</w:t>
      </w:r>
      <w:r w:rsidR="002722B9">
        <w:rPr>
          <w:rStyle w:val="FootnoteReference"/>
          <w:rFonts w:ascii="Times New Roman" w:hAnsi="Times New Roman" w:cs="Times New Roman"/>
        </w:rPr>
        <w:footnoteReference w:id="26"/>
      </w:r>
    </w:p>
    <w:p w14:paraId="73E94310" w14:textId="77777777" w:rsidR="00527B91" w:rsidRDefault="00527B91" w:rsidP="00D83FF4">
      <w:pPr>
        <w:jc w:val="both"/>
        <w:rPr>
          <w:rFonts w:ascii="Times New Roman" w:hAnsi="Times New Roman" w:cs="Times New Roman"/>
        </w:rPr>
      </w:pPr>
    </w:p>
    <w:p w14:paraId="5C74E919" w14:textId="597EE377" w:rsidR="00CA13A6" w:rsidRDefault="00CA13A6" w:rsidP="00D83FF4">
      <w:pPr>
        <w:jc w:val="both"/>
        <w:rPr>
          <w:rFonts w:ascii="Times New Roman" w:hAnsi="Times New Roman" w:cs="Times New Roman"/>
        </w:rPr>
      </w:pPr>
      <w:r>
        <w:rPr>
          <w:rFonts w:ascii="Times New Roman" w:hAnsi="Times New Roman" w:cs="Times New Roman"/>
        </w:rPr>
        <w:t>The use of presumptions signals a paradox and an irony.</w:t>
      </w:r>
    </w:p>
    <w:p w14:paraId="29AAC976" w14:textId="77777777" w:rsidR="00CA13A6" w:rsidRDefault="00CA13A6" w:rsidP="00D83FF4">
      <w:pPr>
        <w:jc w:val="both"/>
        <w:rPr>
          <w:rFonts w:ascii="Times New Roman" w:hAnsi="Times New Roman" w:cs="Times New Roman"/>
        </w:rPr>
      </w:pPr>
    </w:p>
    <w:p w14:paraId="44B8F794" w14:textId="77777777" w:rsidR="00CA13A6" w:rsidRDefault="00CA13A6" w:rsidP="00D83FF4">
      <w:pPr>
        <w:jc w:val="both"/>
        <w:rPr>
          <w:rFonts w:ascii="Times New Roman" w:hAnsi="Times New Roman" w:cs="Times New Roman"/>
        </w:rPr>
      </w:pPr>
      <w:r>
        <w:rPr>
          <w:rFonts w:ascii="Times New Roman" w:hAnsi="Times New Roman" w:cs="Times New Roman"/>
        </w:rPr>
        <w:lastRenderedPageBreak/>
        <w:t xml:space="preserve">The initial use of a presumption talk in State aid can be traced back in the fundamental </w:t>
      </w:r>
      <w:r>
        <w:rPr>
          <w:rFonts w:ascii="Times New Roman" w:hAnsi="Times New Roman" w:cs="Times New Roman"/>
          <w:i/>
          <w:iCs/>
        </w:rPr>
        <w:t xml:space="preserve">Philip Morris </w:t>
      </w:r>
      <w:r>
        <w:rPr>
          <w:rFonts w:ascii="Times New Roman" w:hAnsi="Times New Roman" w:cs="Times New Roman"/>
        </w:rPr>
        <w:t xml:space="preserve">case where the Court of Justice laid down the famous standard whereby any State aid that strengthens the financial position of the recipient has to be taken to affect trade within the Internal Market. While qualifying the suggestion of Advocate General </w:t>
      </w:r>
      <w:proofErr w:type="spellStart"/>
      <w:r>
        <w:rPr>
          <w:rFonts w:ascii="Times New Roman" w:hAnsi="Times New Roman" w:cs="Times New Roman"/>
        </w:rPr>
        <w:t>Capotorti</w:t>
      </w:r>
      <w:proofErr w:type="spellEnd"/>
      <w:r>
        <w:rPr>
          <w:rFonts w:ascii="Times New Roman" w:hAnsi="Times New Roman" w:cs="Times New Roman"/>
        </w:rPr>
        <w:t xml:space="preserve"> in the case – any subsidy by definition distorts – the Court of Justice comes close to a presumption of distortion. The significance of this finding is clear. It goes a long way to strengthen EU State aid control and the power of the Commission.</w:t>
      </w:r>
    </w:p>
    <w:p w14:paraId="749F5B72" w14:textId="77777777" w:rsidR="00CA13A6" w:rsidRDefault="00CA13A6" w:rsidP="00D83FF4">
      <w:pPr>
        <w:jc w:val="both"/>
        <w:rPr>
          <w:rFonts w:ascii="Times New Roman" w:hAnsi="Times New Roman" w:cs="Times New Roman"/>
        </w:rPr>
      </w:pPr>
    </w:p>
    <w:p w14:paraId="4DE9CDA9" w14:textId="1C695B35" w:rsidR="00B231EF" w:rsidRPr="00CA13A6" w:rsidRDefault="00CA13A6" w:rsidP="00D83FF4">
      <w:pPr>
        <w:jc w:val="both"/>
        <w:rPr>
          <w:rFonts w:ascii="Times New Roman" w:hAnsi="Times New Roman" w:cs="Times New Roman"/>
        </w:rPr>
      </w:pPr>
      <w:r>
        <w:rPr>
          <w:rFonts w:ascii="Times New Roman" w:hAnsi="Times New Roman" w:cs="Times New Roman"/>
        </w:rPr>
        <w:t xml:space="preserve">Fast forward to the use of presumptions in the crisis frameworks and the use of presumptions is now going in the opposite directions. When distortions in the Internal Market are not the real focus of the regime anymore, they are simply considered insignificant, or their existence is simply posited to trigger EU control. The first decision under the most recent iteration of the frameworks, the CISAF, signals an interesting application of the presumptions of </w:t>
      </w:r>
      <w:r>
        <w:rPr>
          <w:rFonts w:ascii="Times New Roman" w:hAnsi="Times New Roman" w:cs="Times New Roman"/>
          <w:i/>
          <w:iCs/>
        </w:rPr>
        <w:t xml:space="preserve">positive </w:t>
      </w:r>
      <w:r>
        <w:rPr>
          <w:rFonts w:ascii="Times New Roman" w:hAnsi="Times New Roman" w:cs="Times New Roman"/>
        </w:rPr>
        <w:t>effects of the aid measure under investigation.</w:t>
      </w:r>
      <w:r w:rsidR="00527B91">
        <w:rPr>
          <w:rStyle w:val="FootnoteReference"/>
          <w:rFonts w:ascii="Times New Roman" w:hAnsi="Times New Roman" w:cs="Times New Roman"/>
        </w:rPr>
        <w:footnoteReference w:id="27"/>
      </w:r>
      <w:r w:rsidR="00751EA8">
        <w:rPr>
          <w:rFonts w:ascii="Times New Roman" w:hAnsi="Times New Roman" w:cs="Times New Roman"/>
        </w:rPr>
        <w:t xml:space="preserve"> </w:t>
      </w:r>
    </w:p>
    <w:p w14:paraId="1E22D2CB" w14:textId="568C63B4" w:rsidR="009815C7" w:rsidRPr="009815C7" w:rsidRDefault="009815C7" w:rsidP="00D83FF4">
      <w:pPr>
        <w:jc w:val="both"/>
        <w:rPr>
          <w:rFonts w:ascii="Times New Roman" w:hAnsi="Times New Roman" w:cs="Times New Roman"/>
        </w:rPr>
      </w:pPr>
    </w:p>
    <w:p w14:paraId="279631B7" w14:textId="06C2644A" w:rsidR="00751EA8" w:rsidRDefault="00751EA8" w:rsidP="00D83FF4">
      <w:pPr>
        <w:jc w:val="both"/>
        <w:rPr>
          <w:rFonts w:ascii="Times New Roman" w:hAnsi="Times New Roman" w:cs="Times New Roman"/>
        </w:rPr>
      </w:pPr>
      <w:r>
        <w:rPr>
          <w:rFonts w:ascii="Times New Roman" w:hAnsi="Times New Roman" w:cs="Times New Roman"/>
        </w:rPr>
        <w:t>In sum, the end result is that, under the temporary crisis frameworks, the la</w:t>
      </w:r>
      <w:r w:rsidR="005726C9" w:rsidRPr="00C46092">
        <w:rPr>
          <w:rFonts w:ascii="Times New Roman" w:hAnsi="Times New Roman" w:cs="Times New Roman"/>
        </w:rPr>
        <w:t>rge majority of aid is eventually justified</w:t>
      </w:r>
      <w:r>
        <w:rPr>
          <w:rFonts w:ascii="Times New Roman" w:hAnsi="Times New Roman" w:cs="Times New Roman"/>
        </w:rPr>
        <w:t xml:space="preserve">. </w:t>
      </w:r>
      <w:r w:rsidR="005726C9" w:rsidRPr="00C46092">
        <w:rPr>
          <w:rFonts w:ascii="Times New Roman" w:hAnsi="Times New Roman" w:cs="Times New Roman"/>
        </w:rPr>
        <w:t xml:space="preserve">Distortions </w:t>
      </w:r>
      <w:r>
        <w:rPr>
          <w:rFonts w:ascii="Times New Roman" w:hAnsi="Times New Roman" w:cs="Times New Roman"/>
        </w:rPr>
        <w:t xml:space="preserve">are </w:t>
      </w:r>
      <w:r w:rsidR="005726C9" w:rsidRPr="00C46092">
        <w:rPr>
          <w:rFonts w:ascii="Times New Roman" w:hAnsi="Times New Roman" w:cs="Times New Roman"/>
        </w:rPr>
        <w:t xml:space="preserve">not important, </w:t>
      </w:r>
      <w:r>
        <w:rPr>
          <w:rFonts w:ascii="Times New Roman" w:hAnsi="Times New Roman" w:cs="Times New Roman"/>
        </w:rPr>
        <w:t>and the</w:t>
      </w:r>
      <w:r w:rsidR="005726C9" w:rsidRPr="00C46092">
        <w:rPr>
          <w:rFonts w:ascii="Times New Roman" w:hAnsi="Times New Roman" w:cs="Times New Roman"/>
        </w:rPr>
        <w:t xml:space="preserve"> redeeming feature of interventions far more important</w:t>
      </w:r>
      <w:r>
        <w:rPr>
          <w:rFonts w:ascii="Times New Roman" w:hAnsi="Times New Roman" w:cs="Times New Roman"/>
        </w:rPr>
        <w:t>. Significantly, through this emphasis on common policy goals, we witness to a creeping Europeanisation of national industrial policy which is essentially harmonisation by the back-door.</w:t>
      </w:r>
    </w:p>
    <w:p w14:paraId="011D5F7A" w14:textId="77777777" w:rsidR="006D5B4A" w:rsidRDefault="006D5B4A" w:rsidP="00D83FF4">
      <w:pPr>
        <w:jc w:val="both"/>
        <w:rPr>
          <w:rFonts w:ascii="Times New Roman" w:hAnsi="Times New Roman" w:cs="Times New Roman"/>
        </w:rPr>
      </w:pPr>
    </w:p>
    <w:p w14:paraId="7F4E64DD" w14:textId="77777777" w:rsidR="006D5B4A" w:rsidRPr="00C46092" w:rsidRDefault="006D5B4A" w:rsidP="00D83FF4">
      <w:pPr>
        <w:jc w:val="both"/>
        <w:rPr>
          <w:rFonts w:ascii="Times New Roman" w:hAnsi="Times New Roman" w:cs="Times New Roman"/>
        </w:rPr>
      </w:pPr>
    </w:p>
    <w:p w14:paraId="3C7A7FCB" w14:textId="72472AB3" w:rsidR="005726C9" w:rsidRPr="00C46092" w:rsidRDefault="005726C9" w:rsidP="00D83FF4">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Thoughts on the legality of the changing Constitu</w:t>
      </w:r>
      <w:r w:rsidR="0046322E" w:rsidRPr="00C46092">
        <w:rPr>
          <w:rFonts w:ascii="Times New Roman" w:hAnsi="Times New Roman" w:cs="Times New Roman"/>
          <w:b/>
          <w:bCs/>
        </w:rPr>
        <w:t>t</w:t>
      </w:r>
      <w:r w:rsidRPr="00C46092">
        <w:rPr>
          <w:rFonts w:ascii="Times New Roman" w:hAnsi="Times New Roman" w:cs="Times New Roman"/>
          <w:b/>
          <w:bCs/>
        </w:rPr>
        <w:t>ion</w:t>
      </w:r>
      <w:r w:rsidR="005C476A" w:rsidRPr="00C46092">
        <w:rPr>
          <w:rFonts w:ascii="Times New Roman" w:hAnsi="Times New Roman" w:cs="Times New Roman"/>
          <w:b/>
          <w:bCs/>
        </w:rPr>
        <w:t xml:space="preserve">: </w:t>
      </w:r>
      <w:r w:rsidR="000A6398">
        <w:rPr>
          <w:rFonts w:ascii="Times New Roman" w:hAnsi="Times New Roman" w:cs="Times New Roman"/>
          <w:b/>
          <w:bCs/>
        </w:rPr>
        <w:t>doubts</w:t>
      </w:r>
    </w:p>
    <w:p w14:paraId="7F10E52E" w14:textId="77777777" w:rsidR="005726C9" w:rsidRPr="00C46092" w:rsidRDefault="005726C9" w:rsidP="00D83FF4">
      <w:pPr>
        <w:jc w:val="both"/>
        <w:rPr>
          <w:rFonts w:ascii="Times New Roman" w:hAnsi="Times New Roman" w:cs="Times New Roman"/>
        </w:rPr>
      </w:pPr>
    </w:p>
    <w:p w14:paraId="5003478A" w14:textId="31F9C4A1" w:rsidR="00581BA3" w:rsidRDefault="00581BA3" w:rsidP="00D83FF4">
      <w:pPr>
        <w:jc w:val="both"/>
        <w:rPr>
          <w:rFonts w:ascii="Times New Roman" w:hAnsi="Times New Roman" w:cs="Times New Roman"/>
        </w:rPr>
      </w:pPr>
      <w:r>
        <w:rPr>
          <w:rFonts w:ascii="Times New Roman" w:hAnsi="Times New Roman" w:cs="Times New Roman"/>
        </w:rPr>
        <w:t>Let’s now assess the legality and political viability of these changes in turn.</w:t>
      </w:r>
    </w:p>
    <w:p w14:paraId="28596144" w14:textId="77777777" w:rsidR="00581BA3" w:rsidRDefault="00581BA3" w:rsidP="00D83FF4">
      <w:pPr>
        <w:jc w:val="both"/>
        <w:rPr>
          <w:rFonts w:ascii="Times New Roman" w:hAnsi="Times New Roman" w:cs="Times New Roman"/>
        </w:rPr>
      </w:pPr>
    </w:p>
    <w:p w14:paraId="549C4DEA" w14:textId="3F2C185D" w:rsidR="00755196" w:rsidRDefault="00581BA3" w:rsidP="00D83FF4">
      <w:pPr>
        <w:jc w:val="both"/>
        <w:rPr>
          <w:rFonts w:ascii="Times New Roman" w:hAnsi="Times New Roman" w:cs="Times New Roman"/>
        </w:rPr>
      </w:pPr>
      <w:r>
        <w:rPr>
          <w:rFonts w:ascii="Times New Roman" w:hAnsi="Times New Roman" w:cs="Times New Roman"/>
        </w:rPr>
        <w:t>First, a</w:t>
      </w:r>
      <w:r w:rsidR="005726C9" w:rsidRPr="00C46092">
        <w:rPr>
          <w:rFonts w:ascii="Times New Roman" w:hAnsi="Times New Roman" w:cs="Times New Roman"/>
        </w:rPr>
        <w:t xml:space="preserve">re these systemic changes </w:t>
      </w:r>
      <w:r w:rsidR="005726C9" w:rsidRPr="00752F72">
        <w:rPr>
          <w:rFonts w:ascii="Times New Roman" w:hAnsi="Times New Roman" w:cs="Times New Roman"/>
        </w:rPr>
        <w:t>legal</w:t>
      </w:r>
      <w:r w:rsidR="005726C9" w:rsidRPr="00C46092">
        <w:rPr>
          <w:rFonts w:ascii="Times New Roman" w:hAnsi="Times New Roman" w:cs="Times New Roman"/>
        </w:rPr>
        <w:t>?</w:t>
      </w:r>
      <w:r w:rsidR="00551BDB">
        <w:rPr>
          <w:rFonts w:ascii="Times New Roman" w:hAnsi="Times New Roman" w:cs="Times New Roman"/>
        </w:rPr>
        <w:t xml:space="preserve"> </w:t>
      </w:r>
      <w:r w:rsidR="005726C9" w:rsidRPr="00C46092">
        <w:rPr>
          <w:rFonts w:ascii="Times New Roman" w:hAnsi="Times New Roman" w:cs="Times New Roman"/>
        </w:rPr>
        <w:t>Probably not</w:t>
      </w:r>
      <w:r>
        <w:rPr>
          <w:rFonts w:ascii="Times New Roman" w:hAnsi="Times New Roman" w:cs="Times New Roman"/>
        </w:rPr>
        <w:t xml:space="preserve">. </w:t>
      </w:r>
      <w:r w:rsidR="005726C9" w:rsidRPr="00C46092">
        <w:rPr>
          <w:rFonts w:ascii="Times New Roman" w:hAnsi="Times New Roman" w:cs="Times New Roman"/>
        </w:rPr>
        <w:t xml:space="preserve">The current features of the system are </w:t>
      </w:r>
      <w:r w:rsidR="005726C9" w:rsidRPr="00581BA3">
        <w:rPr>
          <w:rFonts w:ascii="Times New Roman" w:hAnsi="Times New Roman" w:cs="Times New Roman"/>
        </w:rPr>
        <w:t>too far away</w:t>
      </w:r>
      <w:r w:rsidR="005726C9" w:rsidRPr="00C46092">
        <w:rPr>
          <w:rFonts w:ascii="Times New Roman" w:hAnsi="Times New Roman" w:cs="Times New Roman"/>
          <w:b/>
          <w:bCs/>
        </w:rPr>
        <w:t xml:space="preserve"> </w:t>
      </w:r>
      <w:r w:rsidR="005726C9" w:rsidRPr="00C46092">
        <w:rPr>
          <w:rFonts w:ascii="Times New Roman" w:hAnsi="Times New Roman" w:cs="Times New Roman"/>
        </w:rPr>
        <w:t>from what the Constitution provides for</w:t>
      </w:r>
      <w:r w:rsidR="0055404A">
        <w:rPr>
          <w:rFonts w:ascii="Times New Roman" w:hAnsi="Times New Roman" w:cs="Times New Roman"/>
        </w:rPr>
        <w:t xml:space="preserve">. </w:t>
      </w:r>
      <w:r w:rsidR="00A92E0F">
        <w:rPr>
          <w:rFonts w:ascii="Times New Roman" w:hAnsi="Times New Roman" w:cs="Times New Roman"/>
        </w:rPr>
        <w:t>Following the image of the geological stratifications used above, t</w:t>
      </w:r>
      <w:r w:rsidR="0055404A">
        <w:rPr>
          <w:rFonts w:ascii="Times New Roman" w:hAnsi="Times New Roman" w:cs="Times New Roman"/>
        </w:rPr>
        <w:t xml:space="preserve">he </w:t>
      </w:r>
      <w:r w:rsidR="005726C9" w:rsidRPr="00C46092">
        <w:rPr>
          <w:rFonts w:ascii="Times New Roman" w:hAnsi="Times New Roman" w:cs="Times New Roman"/>
        </w:rPr>
        <w:t>‘material’</w:t>
      </w:r>
      <w:r w:rsidR="0055404A">
        <w:rPr>
          <w:rFonts w:ascii="Times New Roman" w:hAnsi="Times New Roman" w:cs="Times New Roman"/>
        </w:rPr>
        <w:t xml:space="preserve"> or ‘living’</w:t>
      </w:r>
      <w:r w:rsidR="005726C9" w:rsidRPr="00C46092">
        <w:rPr>
          <w:rFonts w:ascii="Times New Roman" w:hAnsi="Times New Roman" w:cs="Times New Roman"/>
        </w:rPr>
        <w:t xml:space="preserve"> Constitution is </w:t>
      </w:r>
      <w:r w:rsidR="0055404A">
        <w:rPr>
          <w:rFonts w:ascii="Times New Roman" w:hAnsi="Times New Roman" w:cs="Times New Roman"/>
        </w:rPr>
        <w:t xml:space="preserve">too much </w:t>
      </w:r>
      <w:r w:rsidR="005726C9" w:rsidRPr="00C46092">
        <w:rPr>
          <w:rFonts w:ascii="Times New Roman" w:hAnsi="Times New Roman" w:cs="Times New Roman"/>
        </w:rPr>
        <w:t xml:space="preserve">detached from </w:t>
      </w:r>
      <w:r w:rsidR="0055404A">
        <w:rPr>
          <w:rFonts w:ascii="Times New Roman" w:hAnsi="Times New Roman" w:cs="Times New Roman"/>
        </w:rPr>
        <w:t xml:space="preserve">the </w:t>
      </w:r>
      <w:r w:rsidR="005726C9" w:rsidRPr="00C46092">
        <w:rPr>
          <w:rFonts w:ascii="Times New Roman" w:hAnsi="Times New Roman" w:cs="Times New Roman"/>
        </w:rPr>
        <w:t>‘original’ Constitution</w:t>
      </w:r>
      <w:r w:rsidR="00723BF3">
        <w:rPr>
          <w:rFonts w:ascii="Times New Roman" w:hAnsi="Times New Roman" w:cs="Times New Roman"/>
        </w:rPr>
        <w:t>.</w:t>
      </w:r>
      <w:r w:rsidR="008012F9">
        <w:rPr>
          <w:rStyle w:val="FootnoteReference"/>
          <w:rFonts w:ascii="Times New Roman" w:hAnsi="Times New Roman" w:cs="Times New Roman"/>
        </w:rPr>
        <w:footnoteReference w:id="28"/>
      </w:r>
    </w:p>
    <w:p w14:paraId="3EC95F80" w14:textId="77777777" w:rsidR="00581BA3" w:rsidRPr="00C46092" w:rsidRDefault="00581BA3" w:rsidP="00D83FF4">
      <w:pPr>
        <w:jc w:val="both"/>
        <w:rPr>
          <w:rFonts w:ascii="Times New Roman" w:hAnsi="Times New Roman" w:cs="Times New Roman"/>
        </w:rPr>
      </w:pPr>
    </w:p>
    <w:p w14:paraId="06F32708" w14:textId="70917739" w:rsidR="00723BF3" w:rsidRDefault="0055404A" w:rsidP="00D83FF4">
      <w:pPr>
        <w:jc w:val="both"/>
        <w:rPr>
          <w:rFonts w:ascii="Times New Roman" w:hAnsi="Times New Roman" w:cs="Times New Roman"/>
        </w:rPr>
      </w:pPr>
      <w:r>
        <w:rPr>
          <w:rFonts w:ascii="Times New Roman" w:hAnsi="Times New Roman" w:cs="Times New Roman"/>
        </w:rPr>
        <w:t xml:space="preserve">The </w:t>
      </w:r>
      <w:r w:rsidRPr="0055404A">
        <w:rPr>
          <w:rFonts w:ascii="Times New Roman" w:hAnsi="Times New Roman" w:cs="Times New Roman"/>
        </w:rPr>
        <w:t>l</w:t>
      </w:r>
      <w:r w:rsidR="005726C9" w:rsidRPr="0055404A">
        <w:rPr>
          <w:rFonts w:ascii="Times New Roman" w:hAnsi="Times New Roman" w:cs="Times New Roman"/>
        </w:rPr>
        <w:t>egal assessment</w:t>
      </w:r>
      <w:r w:rsidR="005726C9" w:rsidRPr="00C46092">
        <w:rPr>
          <w:rFonts w:ascii="Times New Roman" w:hAnsi="Times New Roman" w:cs="Times New Roman"/>
        </w:rPr>
        <w:t xml:space="preserve"> of both prohibition and justification is arguably very different from </w:t>
      </w:r>
      <w:r w:rsidR="00551BDB">
        <w:rPr>
          <w:rFonts w:ascii="Times New Roman" w:hAnsi="Times New Roman" w:cs="Times New Roman"/>
        </w:rPr>
        <w:t>the 1957-</w:t>
      </w:r>
      <w:r w:rsidR="005726C9" w:rsidRPr="00C46092">
        <w:rPr>
          <w:rFonts w:ascii="Times New Roman" w:hAnsi="Times New Roman" w:cs="Times New Roman"/>
        </w:rPr>
        <w:t xml:space="preserve">constitutional </w:t>
      </w:r>
      <w:r w:rsidR="005726C9" w:rsidRPr="0055404A">
        <w:rPr>
          <w:rFonts w:ascii="Times New Roman" w:hAnsi="Times New Roman" w:cs="Times New Roman"/>
        </w:rPr>
        <w:t>legal criteria</w:t>
      </w:r>
      <w:r>
        <w:rPr>
          <w:rFonts w:ascii="Times New Roman" w:hAnsi="Times New Roman" w:cs="Times New Roman"/>
        </w:rPr>
        <w:t>.</w:t>
      </w:r>
      <w:r w:rsidR="00A92E0F">
        <w:rPr>
          <w:rFonts w:ascii="Times New Roman" w:hAnsi="Times New Roman" w:cs="Times New Roman"/>
        </w:rPr>
        <w:t xml:space="preserve"> </w:t>
      </w:r>
      <w:r w:rsidR="00723BF3">
        <w:rPr>
          <w:rFonts w:ascii="Times New Roman" w:hAnsi="Times New Roman" w:cs="Times New Roman"/>
        </w:rPr>
        <w:t>This for various reasons. First, t</w:t>
      </w:r>
      <w:r w:rsidR="00755196">
        <w:rPr>
          <w:rFonts w:ascii="Times New Roman" w:hAnsi="Times New Roman" w:cs="Times New Roman"/>
        </w:rPr>
        <w:t xml:space="preserve">he distortion on competition and effect on the Internal Market are legal requirements and presumptive approaches cannot go as far as emptying them. At the same time, though broadly-phrased, exemptions need to be </w:t>
      </w:r>
      <w:r w:rsidR="00723BF3">
        <w:rPr>
          <w:rFonts w:ascii="Times New Roman" w:hAnsi="Times New Roman" w:cs="Times New Roman"/>
        </w:rPr>
        <w:t xml:space="preserve">construed and applied </w:t>
      </w:r>
      <w:r w:rsidR="00723BF3">
        <w:rPr>
          <w:rFonts w:ascii="Times New Roman" w:hAnsi="Times New Roman" w:cs="Times New Roman"/>
          <w:i/>
          <w:iCs/>
        </w:rPr>
        <w:t xml:space="preserve">within </w:t>
      </w:r>
      <w:r w:rsidR="00723BF3">
        <w:rPr>
          <w:rFonts w:ascii="Times New Roman" w:hAnsi="Times New Roman" w:cs="Times New Roman"/>
        </w:rPr>
        <w:t>the context of the main goal of EU State aid control which is to control distortions of competition within the Internal Market.</w:t>
      </w:r>
    </w:p>
    <w:p w14:paraId="130616FF" w14:textId="77777777" w:rsidR="00723BF3" w:rsidRDefault="00723BF3" w:rsidP="00D83FF4">
      <w:pPr>
        <w:jc w:val="both"/>
        <w:rPr>
          <w:rFonts w:ascii="Times New Roman" w:hAnsi="Times New Roman" w:cs="Times New Roman"/>
        </w:rPr>
      </w:pPr>
    </w:p>
    <w:p w14:paraId="4BBA16AF" w14:textId="0C54CC92" w:rsidR="00723BF3" w:rsidRDefault="00723BF3" w:rsidP="00D83FF4">
      <w:pPr>
        <w:jc w:val="both"/>
        <w:rPr>
          <w:rFonts w:ascii="Times New Roman" w:hAnsi="Times New Roman" w:cs="Times New Roman"/>
        </w:rPr>
      </w:pPr>
      <w:r>
        <w:rPr>
          <w:rFonts w:ascii="Times New Roman" w:hAnsi="Times New Roman" w:cs="Times New Roman"/>
        </w:rPr>
        <w:t xml:space="preserve">In this respect, the distancing from the Internal Market goal has led to the increasing materialisation of the risk of </w:t>
      </w:r>
      <w:r w:rsidR="00381F6A">
        <w:rPr>
          <w:rFonts w:ascii="Times New Roman" w:hAnsi="Times New Roman" w:cs="Times New Roman"/>
        </w:rPr>
        <w:t xml:space="preserve">its </w:t>
      </w:r>
      <w:r>
        <w:rPr>
          <w:rFonts w:ascii="Times New Roman" w:hAnsi="Times New Roman" w:cs="Times New Roman"/>
        </w:rPr>
        <w:t>fragmentation as a consequence of national State aid policies. Since State aid can replace other domestic policies and essentially operate as an obstacle to trade, there is a</w:t>
      </w:r>
      <w:r>
        <w:rPr>
          <w:rFonts w:ascii="Times New Roman" w:hAnsi="Times New Roman" w:cs="Times New Roman"/>
          <w:b/>
          <w:bCs/>
        </w:rPr>
        <w:t xml:space="preserve"> </w:t>
      </w:r>
      <w:r w:rsidRPr="0093159F">
        <w:rPr>
          <w:rFonts w:ascii="Times New Roman" w:hAnsi="Times New Roman" w:cs="Times New Roman"/>
        </w:rPr>
        <w:t>conflict</w:t>
      </w:r>
      <w:r w:rsidRPr="00C46092">
        <w:rPr>
          <w:rFonts w:ascii="Times New Roman" w:hAnsi="Times New Roman" w:cs="Times New Roman"/>
        </w:rPr>
        <w:t xml:space="preserve"> between the system </w:t>
      </w:r>
      <w:r>
        <w:rPr>
          <w:rFonts w:ascii="Times New Roman" w:hAnsi="Times New Roman" w:cs="Times New Roman"/>
        </w:rPr>
        <w:t xml:space="preserve">of State aid control </w:t>
      </w:r>
      <w:r w:rsidRPr="00C46092">
        <w:rPr>
          <w:rFonts w:ascii="Times New Roman" w:hAnsi="Times New Roman" w:cs="Times New Roman"/>
        </w:rPr>
        <w:t xml:space="preserve">as originally designed and the </w:t>
      </w:r>
      <w:r w:rsidRPr="0093159F">
        <w:rPr>
          <w:rFonts w:ascii="Times New Roman" w:hAnsi="Times New Roman" w:cs="Times New Roman"/>
        </w:rPr>
        <w:t>internal market</w:t>
      </w:r>
      <w:r w:rsidRPr="00C46092">
        <w:rPr>
          <w:rFonts w:ascii="Times New Roman" w:hAnsi="Times New Roman" w:cs="Times New Roman"/>
          <w:b/>
          <w:bCs/>
        </w:rPr>
        <w:t xml:space="preserve"> </w:t>
      </w:r>
      <w:r w:rsidR="00381F6A">
        <w:rPr>
          <w:rFonts w:ascii="Times New Roman" w:hAnsi="Times New Roman" w:cs="Times New Roman"/>
        </w:rPr>
        <w:t>imperative</w:t>
      </w:r>
      <w:r>
        <w:rPr>
          <w:rFonts w:ascii="Times New Roman" w:hAnsi="Times New Roman" w:cs="Times New Roman"/>
        </w:rPr>
        <w:t xml:space="preserve">. One of the main concerns following the 2005 State Aid Action Plan </w:t>
      </w:r>
      <w:r>
        <w:rPr>
          <w:rFonts w:ascii="Times New Roman" w:hAnsi="Times New Roman" w:cs="Times New Roman"/>
        </w:rPr>
        <w:lastRenderedPageBreak/>
        <w:t>(“SAAP”), i.e. that State aid might become a tool of competition between States, between the ‘haves’ and ‘haves-not’, has become a reality.</w:t>
      </w:r>
      <w:r w:rsidR="00381F6A">
        <w:rPr>
          <w:rStyle w:val="FootnoteReference"/>
          <w:rFonts w:ascii="Times New Roman" w:hAnsi="Times New Roman" w:cs="Times New Roman"/>
        </w:rPr>
        <w:footnoteReference w:id="29"/>
      </w:r>
      <w:r>
        <w:rPr>
          <w:rFonts w:ascii="Times New Roman" w:hAnsi="Times New Roman" w:cs="Times New Roman"/>
        </w:rPr>
        <w:t xml:space="preserve"> Official data show how three countries, i.e. Germany, France and Italy, account for the large majority of State aid granted in the EU.</w:t>
      </w:r>
      <w:r>
        <w:rPr>
          <w:rStyle w:val="FootnoteReference"/>
          <w:rFonts w:ascii="Times New Roman" w:hAnsi="Times New Roman" w:cs="Times New Roman"/>
        </w:rPr>
        <w:footnoteReference w:id="30"/>
      </w:r>
    </w:p>
    <w:p w14:paraId="20EB4DDB" w14:textId="77777777" w:rsidR="00723BF3" w:rsidRDefault="00723BF3" w:rsidP="00D83FF4">
      <w:pPr>
        <w:jc w:val="both"/>
        <w:rPr>
          <w:rFonts w:ascii="Times New Roman" w:hAnsi="Times New Roman" w:cs="Times New Roman"/>
        </w:rPr>
      </w:pPr>
    </w:p>
    <w:p w14:paraId="4B0A7571" w14:textId="79086146" w:rsidR="00551BDB" w:rsidRDefault="00551BDB" w:rsidP="00D83FF4">
      <w:pPr>
        <w:jc w:val="both"/>
        <w:rPr>
          <w:rFonts w:ascii="Times New Roman" w:hAnsi="Times New Roman" w:cs="Times New Roman"/>
        </w:rPr>
      </w:pPr>
      <w:r>
        <w:rPr>
          <w:rFonts w:ascii="Times New Roman" w:hAnsi="Times New Roman" w:cs="Times New Roman"/>
        </w:rPr>
        <w:t xml:space="preserve">If an orthodoxy in the interpretation of EU State aid law has to be found, this means that State aid control is warranted </w:t>
      </w:r>
      <w:r w:rsidR="00DB3433">
        <w:rPr>
          <w:rFonts w:ascii="Times New Roman" w:hAnsi="Times New Roman" w:cs="Times New Roman"/>
        </w:rPr>
        <w:t xml:space="preserve">only </w:t>
      </w:r>
      <w:r>
        <w:rPr>
          <w:rFonts w:ascii="Times New Roman" w:hAnsi="Times New Roman" w:cs="Times New Roman"/>
        </w:rPr>
        <w:t>because State subsidies (very much like duties, quantitative restrictions and the like) may distort the internal market. This has led Andrea Biondi to</w:t>
      </w:r>
      <w:r w:rsidR="001D706B">
        <w:rPr>
          <w:rFonts w:ascii="Times New Roman" w:hAnsi="Times New Roman" w:cs="Times New Roman"/>
        </w:rPr>
        <w:t xml:space="preserve"> recently conclude</w:t>
      </w:r>
      <w:r>
        <w:rPr>
          <w:rFonts w:ascii="Times New Roman" w:hAnsi="Times New Roman" w:cs="Times New Roman"/>
        </w:rPr>
        <w:t>:</w:t>
      </w:r>
    </w:p>
    <w:p w14:paraId="02996C39" w14:textId="77777777" w:rsidR="00551BDB" w:rsidRDefault="00551BDB" w:rsidP="00D83FF4">
      <w:pPr>
        <w:jc w:val="both"/>
        <w:rPr>
          <w:rFonts w:ascii="Times New Roman" w:hAnsi="Times New Roman" w:cs="Times New Roman"/>
        </w:rPr>
      </w:pPr>
    </w:p>
    <w:p w14:paraId="038E736A" w14:textId="00717B92" w:rsidR="00551BDB" w:rsidRPr="00C46092" w:rsidRDefault="00551BDB" w:rsidP="00D83FF4">
      <w:pPr>
        <w:ind w:left="720"/>
        <w:jc w:val="both"/>
        <w:rPr>
          <w:rFonts w:ascii="Times New Roman" w:hAnsi="Times New Roman" w:cs="Times New Roman"/>
        </w:rPr>
      </w:pPr>
      <w:r w:rsidRPr="00C46092">
        <w:rPr>
          <w:rFonts w:ascii="Times New Roman" w:hAnsi="Times New Roman" w:cs="Times New Roman"/>
        </w:rPr>
        <w:t xml:space="preserve">In other words, were the Commission to return to an orthodox approach, with no substantial changes to the Treaty or secondary legislation, </w:t>
      </w:r>
      <w:r w:rsidRPr="00DB3433">
        <w:rPr>
          <w:rFonts w:ascii="Times New Roman" w:hAnsi="Times New Roman" w:cs="Times New Roman"/>
        </w:rPr>
        <w:t>the rationale for state aid control would continue to be the maintenance of the internal market”</w:t>
      </w:r>
      <w:r>
        <w:rPr>
          <w:rFonts w:ascii="Times New Roman" w:hAnsi="Times New Roman" w:cs="Times New Roman"/>
        </w:rPr>
        <w:t>.</w:t>
      </w:r>
      <w:r>
        <w:rPr>
          <w:rStyle w:val="FootnoteReference"/>
          <w:rFonts w:ascii="Times New Roman" w:hAnsi="Times New Roman" w:cs="Times New Roman"/>
        </w:rPr>
        <w:footnoteReference w:id="31"/>
      </w:r>
    </w:p>
    <w:p w14:paraId="39C4814F" w14:textId="77777777" w:rsidR="00551BDB" w:rsidRDefault="00551BDB" w:rsidP="00D83FF4">
      <w:pPr>
        <w:jc w:val="both"/>
        <w:rPr>
          <w:rFonts w:ascii="Times New Roman" w:hAnsi="Times New Roman" w:cs="Times New Roman"/>
        </w:rPr>
      </w:pPr>
    </w:p>
    <w:p w14:paraId="50DE0A91" w14:textId="295D16E6" w:rsidR="00723BF3" w:rsidRDefault="00723BF3" w:rsidP="00D83FF4">
      <w:pPr>
        <w:jc w:val="both"/>
        <w:rPr>
          <w:rFonts w:ascii="Times New Roman" w:hAnsi="Times New Roman" w:cs="Times New Roman"/>
        </w:rPr>
      </w:pPr>
      <w:r>
        <w:rPr>
          <w:rFonts w:ascii="Times New Roman" w:hAnsi="Times New Roman" w:cs="Times New Roman"/>
        </w:rPr>
        <w:t>More generally, we have increasingly seen a shift</w:t>
      </w:r>
      <w:r w:rsidRPr="00C46092">
        <w:rPr>
          <w:rFonts w:ascii="Times New Roman" w:hAnsi="Times New Roman" w:cs="Times New Roman"/>
        </w:rPr>
        <w:t xml:space="preserve"> from subsidy </w:t>
      </w:r>
      <w:r w:rsidRPr="0093159F">
        <w:rPr>
          <w:rFonts w:ascii="Times New Roman" w:hAnsi="Times New Roman" w:cs="Times New Roman"/>
        </w:rPr>
        <w:t>control</w:t>
      </w:r>
      <w:r w:rsidRPr="00C46092">
        <w:rPr>
          <w:rFonts w:ascii="Times New Roman" w:hAnsi="Times New Roman" w:cs="Times New Roman"/>
        </w:rPr>
        <w:t xml:space="preserve"> to</w:t>
      </w:r>
      <w:r>
        <w:rPr>
          <w:rFonts w:ascii="Times New Roman" w:hAnsi="Times New Roman" w:cs="Times New Roman"/>
        </w:rPr>
        <w:t xml:space="preserve"> subsidy</w:t>
      </w:r>
      <w:r w:rsidRPr="00C46092">
        <w:rPr>
          <w:rFonts w:ascii="Times New Roman" w:hAnsi="Times New Roman" w:cs="Times New Roman"/>
        </w:rPr>
        <w:t xml:space="preserve"> </w:t>
      </w:r>
      <w:r w:rsidRPr="0093159F">
        <w:rPr>
          <w:rFonts w:ascii="Times New Roman" w:hAnsi="Times New Roman" w:cs="Times New Roman"/>
          <w:i/>
          <w:iCs/>
        </w:rPr>
        <w:t>governance</w:t>
      </w:r>
      <w:r w:rsidRPr="00C46092">
        <w:rPr>
          <w:rFonts w:ascii="Times New Roman" w:hAnsi="Times New Roman" w:cs="Times New Roman"/>
        </w:rPr>
        <w:t xml:space="preserve"> of public spending</w:t>
      </w:r>
      <w:r>
        <w:rPr>
          <w:rFonts w:ascii="Times New Roman" w:hAnsi="Times New Roman" w:cs="Times New Roman"/>
        </w:rPr>
        <w:t>. The system’s original concern to control distorting aid has mutated into a system governing good aid. As noted, through the use of its power of assessment, the Commission has essentially positively legislated and harmonised. The b</w:t>
      </w:r>
      <w:r w:rsidRPr="00C46092">
        <w:rPr>
          <w:rFonts w:ascii="Times New Roman" w:hAnsi="Times New Roman" w:cs="Times New Roman"/>
        </w:rPr>
        <w:t xml:space="preserve">ody of ‘secondary’ law on justifications has developed into the shape of EU </w:t>
      </w:r>
      <w:r w:rsidRPr="0093159F">
        <w:rPr>
          <w:rFonts w:ascii="Times New Roman" w:hAnsi="Times New Roman" w:cs="Times New Roman"/>
        </w:rPr>
        <w:t>industrial policy</w:t>
      </w:r>
      <w:r w:rsidRPr="00C46092">
        <w:rPr>
          <w:rFonts w:ascii="Times New Roman" w:hAnsi="Times New Roman" w:cs="Times New Roman"/>
        </w:rPr>
        <w:t>-but-without-competence</w:t>
      </w:r>
      <w:r>
        <w:rPr>
          <w:rFonts w:ascii="Times New Roman" w:hAnsi="Times New Roman" w:cs="Times New Roman"/>
        </w:rPr>
        <w:t>.</w:t>
      </w:r>
      <w:r w:rsidR="005E0E62">
        <w:rPr>
          <w:rStyle w:val="FootnoteReference"/>
          <w:rFonts w:ascii="Times New Roman" w:hAnsi="Times New Roman" w:cs="Times New Roman"/>
        </w:rPr>
        <w:footnoteReference w:id="32"/>
      </w:r>
      <w:r>
        <w:rPr>
          <w:rFonts w:ascii="Times New Roman" w:hAnsi="Times New Roman" w:cs="Times New Roman"/>
        </w:rPr>
        <w:t xml:space="preserve"> </w:t>
      </w:r>
      <w:r w:rsidR="00A92E0F">
        <w:rPr>
          <w:rFonts w:ascii="Times New Roman" w:hAnsi="Times New Roman" w:cs="Times New Roman"/>
        </w:rPr>
        <w:t>Soft law has been</w:t>
      </w:r>
      <w:r>
        <w:rPr>
          <w:rFonts w:ascii="Times New Roman" w:hAnsi="Times New Roman" w:cs="Times New Roman"/>
        </w:rPr>
        <w:t xml:space="preserve"> over-used</w:t>
      </w:r>
      <w:r w:rsidR="00A92E0F">
        <w:rPr>
          <w:rFonts w:ascii="Times New Roman" w:hAnsi="Times New Roman" w:cs="Times New Roman"/>
        </w:rPr>
        <w:t xml:space="preserve"> and perhaps abused.</w:t>
      </w:r>
      <w:r w:rsidR="0093159F">
        <w:rPr>
          <w:rFonts w:ascii="Times New Roman" w:hAnsi="Times New Roman" w:cs="Times New Roman"/>
        </w:rPr>
        <w:t xml:space="preserve"> </w:t>
      </w:r>
      <w:r>
        <w:rPr>
          <w:rFonts w:ascii="Times New Roman" w:hAnsi="Times New Roman" w:cs="Times New Roman"/>
        </w:rPr>
        <w:t>Exceptions which, given the emergency situations which justified their introduction, should have become temporary have dangerously become permanent. T</w:t>
      </w:r>
      <w:r w:rsidRPr="00C46092">
        <w:rPr>
          <w:rFonts w:ascii="Times New Roman" w:hAnsi="Times New Roman" w:cs="Times New Roman"/>
        </w:rPr>
        <w:t xml:space="preserve">he current system is </w:t>
      </w:r>
      <w:r w:rsidRPr="0093159F">
        <w:rPr>
          <w:rFonts w:ascii="Times New Roman" w:hAnsi="Times New Roman" w:cs="Times New Roman"/>
        </w:rPr>
        <w:t>fundamentally</w:t>
      </w:r>
      <w:r w:rsidRPr="00C46092">
        <w:rPr>
          <w:rFonts w:ascii="Times New Roman" w:hAnsi="Times New Roman" w:cs="Times New Roman"/>
        </w:rPr>
        <w:t xml:space="preserve"> and </w:t>
      </w:r>
      <w:r w:rsidRPr="0093159F">
        <w:rPr>
          <w:rFonts w:ascii="Times New Roman" w:hAnsi="Times New Roman" w:cs="Times New Roman"/>
        </w:rPr>
        <w:t>qualitatively</w:t>
      </w:r>
      <w:r w:rsidRPr="00C46092">
        <w:rPr>
          <w:rFonts w:ascii="Times New Roman" w:hAnsi="Times New Roman" w:cs="Times New Roman"/>
          <w:i/>
          <w:iCs/>
        </w:rPr>
        <w:t xml:space="preserve"> </w:t>
      </w:r>
      <w:r w:rsidRPr="00C46092">
        <w:rPr>
          <w:rFonts w:ascii="Times New Roman" w:hAnsi="Times New Roman" w:cs="Times New Roman"/>
        </w:rPr>
        <w:t>different from the original one</w:t>
      </w:r>
      <w:r>
        <w:rPr>
          <w:rFonts w:ascii="Times New Roman" w:hAnsi="Times New Roman" w:cs="Times New Roman"/>
        </w:rPr>
        <w:t xml:space="preserve">. </w:t>
      </w:r>
    </w:p>
    <w:p w14:paraId="01E25896" w14:textId="77777777" w:rsidR="00E96E4C" w:rsidRDefault="00E96E4C" w:rsidP="00D83FF4">
      <w:pPr>
        <w:jc w:val="both"/>
        <w:rPr>
          <w:rFonts w:ascii="Times New Roman" w:hAnsi="Times New Roman" w:cs="Times New Roman"/>
        </w:rPr>
      </w:pPr>
    </w:p>
    <w:p w14:paraId="296E4038" w14:textId="77777777" w:rsidR="00752F72" w:rsidRDefault="00752F72" w:rsidP="00D83FF4">
      <w:pPr>
        <w:jc w:val="both"/>
        <w:rPr>
          <w:rFonts w:ascii="Times New Roman" w:hAnsi="Times New Roman" w:cs="Times New Roman"/>
        </w:rPr>
      </w:pPr>
      <w:r>
        <w:rPr>
          <w:rFonts w:ascii="Times New Roman" w:hAnsi="Times New Roman" w:cs="Times New Roman"/>
        </w:rPr>
        <w:t>There is also a final legal aspect to consider, which pertains the ‘external’ side of EU State aid control and the internal market.</w:t>
      </w:r>
    </w:p>
    <w:p w14:paraId="4129984A" w14:textId="77777777" w:rsidR="00752F72" w:rsidRDefault="00752F72" w:rsidP="00D83FF4">
      <w:pPr>
        <w:jc w:val="both"/>
        <w:rPr>
          <w:rFonts w:ascii="Times New Roman" w:hAnsi="Times New Roman" w:cs="Times New Roman"/>
        </w:rPr>
      </w:pPr>
    </w:p>
    <w:p w14:paraId="49C62FBE" w14:textId="18CDBE4D" w:rsidR="00752F72" w:rsidRDefault="00752F72" w:rsidP="00D83FF4">
      <w:pPr>
        <w:jc w:val="both"/>
        <w:rPr>
          <w:rFonts w:ascii="Times New Roman" w:hAnsi="Times New Roman" w:cs="Times New Roman"/>
        </w:rPr>
      </w:pPr>
      <w:r>
        <w:rPr>
          <w:rFonts w:ascii="Times New Roman" w:hAnsi="Times New Roman" w:cs="Times New Roman"/>
        </w:rPr>
        <w:t xml:space="preserve">As known, the EU has recently adopted </w:t>
      </w:r>
      <w:r w:rsidR="00E05451">
        <w:rPr>
          <w:rFonts w:ascii="Times New Roman" w:hAnsi="Times New Roman" w:cs="Times New Roman"/>
        </w:rPr>
        <w:t xml:space="preserve">the Foreign Subsidy Regulation (“FSR”), </w:t>
      </w:r>
      <w:r>
        <w:rPr>
          <w:rFonts w:ascii="Times New Roman" w:hAnsi="Times New Roman" w:cs="Times New Roman"/>
        </w:rPr>
        <w:t>a new regulatory tool to tackle so-called ‘foreign subsidies’, i.e. subsidies granted by third-countries to companies active in the EU internal market.</w:t>
      </w:r>
      <w:r w:rsidR="00E05451">
        <w:rPr>
          <w:rStyle w:val="FootnoteReference"/>
          <w:rFonts w:ascii="Times New Roman" w:hAnsi="Times New Roman" w:cs="Times New Roman"/>
        </w:rPr>
        <w:footnoteReference w:id="33"/>
      </w:r>
      <w:r>
        <w:rPr>
          <w:rFonts w:ascii="Times New Roman" w:hAnsi="Times New Roman" w:cs="Times New Roman"/>
        </w:rPr>
        <w:t xml:space="preserve"> Th</w:t>
      </w:r>
      <w:r w:rsidR="00E05451">
        <w:rPr>
          <w:rFonts w:ascii="Times New Roman" w:hAnsi="Times New Roman" w:cs="Times New Roman"/>
        </w:rPr>
        <w:t xml:space="preserve">e FSR </w:t>
      </w:r>
      <w:r>
        <w:rPr>
          <w:rFonts w:ascii="Times New Roman" w:hAnsi="Times New Roman" w:cs="Times New Roman"/>
        </w:rPr>
        <w:t xml:space="preserve">is one the recent initiatives adopted by the EU to address the competitiveness concerns of its industry. </w:t>
      </w:r>
    </w:p>
    <w:p w14:paraId="1C8D6BF0" w14:textId="77777777" w:rsidR="00752F72" w:rsidRDefault="00752F72" w:rsidP="00752F72">
      <w:pPr>
        <w:jc w:val="both"/>
        <w:rPr>
          <w:rFonts w:ascii="Times New Roman" w:hAnsi="Times New Roman" w:cs="Times New Roman"/>
        </w:rPr>
      </w:pPr>
    </w:p>
    <w:p w14:paraId="12F6385E" w14:textId="57300FBB" w:rsidR="00752F72" w:rsidRPr="00C46092" w:rsidRDefault="00752F72" w:rsidP="00752F72">
      <w:pPr>
        <w:ind w:left="720"/>
        <w:jc w:val="both"/>
        <w:rPr>
          <w:rFonts w:ascii="Times New Roman" w:hAnsi="Times New Roman" w:cs="Times New Roman"/>
        </w:rPr>
      </w:pPr>
      <w:r w:rsidRPr="00C46092">
        <w:rPr>
          <w:rFonts w:ascii="Times New Roman" w:hAnsi="Times New Roman" w:cs="Times New Roman"/>
        </w:rPr>
        <w:t xml:space="preserve">… this Regulation </w:t>
      </w:r>
      <w:r>
        <w:rPr>
          <w:rFonts w:ascii="Times New Roman" w:hAnsi="Times New Roman" w:cs="Times New Roman"/>
        </w:rPr>
        <w:t>[does]</w:t>
      </w:r>
      <w:r w:rsidRPr="00C46092">
        <w:rPr>
          <w:rFonts w:ascii="Times New Roman" w:hAnsi="Times New Roman" w:cs="Times New Roman"/>
        </w:rPr>
        <w:t xml:space="preserve"> in </w:t>
      </w:r>
      <w:r w:rsidRPr="0078252D">
        <w:rPr>
          <w:rFonts w:ascii="Times New Roman" w:hAnsi="Times New Roman" w:cs="Times New Roman"/>
        </w:rPr>
        <w:t>essence ’extend’ the application of EU State aid laws to subsidies granted by foreign countries. More precisely, it [does] set up a regulatory mechanism - and remedies - that, mutatis mutandis, [does] reflect the key standards of control of EU State aid laws</w:t>
      </w:r>
      <w:r w:rsidRPr="00C46092">
        <w:rPr>
          <w:rFonts w:ascii="Times New Roman" w:hAnsi="Times New Roman" w:cs="Times New Roman"/>
          <w:b/>
          <w:bCs/>
        </w:rPr>
        <w:t xml:space="preserve"> </w:t>
      </w:r>
      <w:r w:rsidRPr="00C46092">
        <w:rPr>
          <w:rFonts w:ascii="Times New Roman" w:hAnsi="Times New Roman" w:cs="Times New Roman"/>
        </w:rPr>
        <w:t>….</w:t>
      </w:r>
      <w:r w:rsidR="000B4015">
        <w:rPr>
          <w:rStyle w:val="FootnoteReference"/>
          <w:rFonts w:ascii="Times New Roman" w:hAnsi="Times New Roman" w:cs="Times New Roman"/>
        </w:rPr>
        <w:footnoteReference w:id="34"/>
      </w:r>
    </w:p>
    <w:p w14:paraId="676BBAD2" w14:textId="77777777" w:rsidR="00752F72" w:rsidRDefault="00752F72" w:rsidP="00D83FF4">
      <w:pPr>
        <w:jc w:val="both"/>
        <w:rPr>
          <w:rFonts w:ascii="Times New Roman" w:hAnsi="Times New Roman" w:cs="Times New Roman"/>
        </w:rPr>
      </w:pPr>
    </w:p>
    <w:p w14:paraId="5002CA83" w14:textId="621E7124" w:rsidR="000A6398" w:rsidRDefault="00752F72" w:rsidP="00D83FF4">
      <w:pPr>
        <w:jc w:val="both"/>
        <w:rPr>
          <w:rFonts w:ascii="Times New Roman" w:hAnsi="Times New Roman" w:cs="Times New Roman"/>
        </w:rPr>
      </w:pPr>
      <w:r>
        <w:rPr>
          <w:rFonts w:ascii="Times New Roman" w:hAnsi="Times New Roman" w:cs="Times New Roman"/>
        </w:rPr>
        <w:t xml:space="preserve">Now, this equivalence of legal standards between the new Regulation and State aid is crucial. To pass muster the legal requirements of WTO law, and disactivate any claim of discrimination of foreign governments and entities, it is of the essence to guarantee that the law actually applied to foreign undertakings is </w:t>
      </w:r>
      <w:r w:rsidR="0078252D">
        <w:rPr>
          <w:rFonts w:ascii="Times New Roman" w:hAnsi="Times New Roman" w:cs="Times New Roman"/>
        </w:rPr>
        <w:t>equivalent to</w:t>
      </w:r>
      <w:r>
        <w:rPr>
          <w:rFonts w:ascii="Times New Roman" w:hAnsi="Times New Roman" w:cs="Times New Roman"/>
        </w:rPr>
        <w:t xml:space="preserve"> that applied to EU undertakings under EU State aid law. </w:t>
      </w:r>
      <w:r w:rsidR="000B4015">
        <w:rPr>
          <w:rFonts w:ascii="Times New Roman" w:hAnsi="Times New Roman" w:cs="Times New Roman"/>
        </w:rPr>
        <w:t xml:space="preserve">The issue becomes particularly important with respect to the administration of the balancing test in Article 6 of the FSR. </w:t>
      </w:r>
      <w:r w:rsidR="0078252D">
        <w:rPr>
          <w:rFonts w:ascii="Times New Roman" w:hAnsi="Times New Roman" w:cs="Times New Roman"/>
        </w:rPr>
        <w:t>I</w:t>
      </w:r>
      <w:r w:rsidR="000B4015">
        <w:rPr>
          <w:rFonts w:ascii="Times New Roman" w:hAnsi="Times New Roman" w:cs="Times New Roman"/>
        </w:rPr>
        <w:t>nasmuch as the policy objective is relevant to the Internal Market or the EU, this has to be regulated in very much the same way as it would happen with an internal State aid measure.</w:t>
      </w:r>
    </w:p>
    <w:p w14:paraId="070CD6FF" w14:textId="77777777" w:rsidR="00752F72" w:rsidRDefault="00752F72" w:rsidP="00D83FF4">
      <w:pPr>
        <w:jc w:val="both"/>
        <w:rPr>
          <w:rFonts w:ascii="Times New Roman" w:hAnsi="Times New Roman" w:cs="Times New Roman"/>
        </w:rPr>
      </w:pPr>
    </w:p>
    <w:p w14:paraId="36F40281" w14:textId="77777777" w:rsidR="00752F72" w:rsidRDefault="00752F72" w:rsidP="00D83FF4">
      <w:pPr>
        <w:jc w:val="both"/>
        <w:rPr>
          <w:rFonts w:ascii="Times New Roman" w:hAnsi="Times New Roman" w:cs="Times New Roman"/>
        </w:rPr>
      </w:pPr>
    </w:p>
    <w:p w14:paraId="4DCE14F6" w14:textId="13E305D8" w:rsidR="000A6398" w:rsidRPr="00C46092" w:rsidRDefault="000A6398" w:rsidP="000A6398">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 xml:space="preserve">Thoughts on the </w:t>
      </w:r>
      <w:r>
        <w:rPr>
          <w:rFonts w:ascii="Times New Roman" w:hAnsi="Times New Roman" w:cs="Times New Roman"/>
          <w:b/>
          <w:bCs/>
        </w:rPr>
        <w:t>political</w:t>
      </w:r>
      <w:r w:rsidRPr="00C46092">
        <w:rPr>
          <w:rFonts w:ascii="Times New Roman" w:hAnsi="Times New Roman" w:cs="Times New Roman"/>
          <w:b/>
          <w:bCs/>
        </w:rPr>
        <w:t xml:space="preserve"> </w:t>
      </w:r>
      <w:r w:rsidR="008932DE">
        <w:rPr>
          <w:rFonts w:ascii="Times New Roman" w:hAnsi="Times New Roman" w:cs="Times New Roman"/>
          <w:b/>
          <w:bCs/>
        </w:rPr>
        <w:t>acceptability</w:t>
      </w:r>
      <w:r w:rsidRPr="00C46092">
        <w:rPr>
          <w:rFonts w:ascii="Times New Roman" w:hAnsi="Times New Roman" w:cs="Times New Roman"/>
          <w:b/>
          <w:bCs/>
        </w:rPr>
        <w:t xml:space="preserve"> of the changing Constitution: unstable equilibrium</w:t>
      </w:r>
    </w:p>
    <w:p w14:paraId="687ECFC7" w14:textId="77777777" w:rsidR="000A6398" w:rsidRDefault="000A6398" w:rsidP="00D83FF4">
      <w:pPr>
        <w:jc w:val="both"/>
        <w:rPr>
          <w:rFonts w:ascii="Times New Roman" w:hAnsi="Times New Roman" w:cs="Times New Roman"/>
        </w:rPr>
      </w:pPr>
    </w:p>
    <w:p w14:paraId="3123C5A5" w14:textId="08344492" w:rsidR="00E96E4C" w:rsidRPr="0093159F" w:rsidRDefault="00E96E4C" w:rsidP="00D83FF4">
      <w:pPr>
        <w:jc w:val="both"/>
        <w:rPr>
          <w:rFonts w:ascii="Times New Roman" w:hAnsi="Times New Roman" w:cs="Times New Roman"/>
        </w:rPr>
      </w:pPr>
      <w:r>
        <w:rPr>
          <w:rFonts w:ascii="Times New Roman" w:hAnsi="Times New Roman" w:cs="Times New Roman"/>
        </w:rPr>
        <w:t xml:space="preserve">If these </w:t>
      </w:r>
      <w:r w:rsidRPr="00C46092">
        <w:rPr>
          <w:rFonts w:ascii="Times New Roman" w:hAnsi="Times New Roman" w:cs="Times New Roman"/>
        </w:rPr>
        <w:t xml:space="preserve">systemic </w:t>
      </w:r>
      <w:r>
        <w:rPr>
          <w:rFonts w:ascii="Times New Roman" w:hAnsi="Times New Roman" w:cs="Times New Roman"/>
        </w:rPr>
        <w:t xml:space="preserve">changes are legally dubious, </w:t>
      </w:r>
      <w:r w:rsidR="001D706B">
        <w:rPr>
          <w:rFonts w:ascii="Times New Roman" w:hAnsi="Times New Roman" w:cs="Times New Roman"/>
        </w:rPr>
        <w:t>what is their political assessment? A</w:t>
      </w:r>
      <w:r w:rsidRPr="00C46092">
        <w:rPr>
          <w:rFonts w:ascii="Times New Roman" w:hAnsi="Times New Roman" w:cs="Times New Roman"/>
        </w:rPr>
        <w:t>re the</w:t>
      </w:r>
      <w:r>
        <w:rPr>
          <w:rFonts w:ascii="Times New Roman" w:hAnsi="Times New Roman" w:cs="Times New Roman"/>
        </w:rPr>
        <w:t xml:space="preserve">y </w:t>
      </w:r>
      <w:r w:rsidRPr="008932DE">
        <w:rPr>
          <w:rFonts w:ascii="Times New Roman" w:hAnsi="Times New Roman" w:cs="Times New Roman"/>
        </w:rPr>
        <w:t>political</w:t>
      </w:r>
      <w:r>
        <w:rPr>
          <w:rFonts w:ascii="Times New Roman" w:hAnsi="Times New Roman" w:cs="Times New Roman"/>
        </w:rPr>
        <w:t xml:space="preserve"> </w:t>
      </w:r>
      <w:r w:rsidRPr="00C46092">
        <w:rPr>
          <w:rFonts w:ascii="Times New Roman" w:hAnsi="Times New Roman" w:cs="Times New Roman"/>
        </w:rPr>
        <w:t>tenable?</w:t>
      </w:r>
    </w:p>
    <w:p w14:paraId="7826C4BF" w14:textId="77777777" w:rsidR="00DF19B8" w:rsidRPr="00C46092" w:rsidRDefault="00DF19B8" w:rsidP="00D83FF4">
      <w:pPr>
        <w:jc w:val="both"/>
        <w:rPr>
          <w:rFonts w:ascii="Times New Roman" w:hAnsi="Times New Roman" w:cs="Times New Roman"/>
        </w:rPr>
      </w:pPr>
    </w:p>
    <w:p w14:paraId="761ACBED" w14:textId="280A4DCA" w:rsidR="00DE296A" w:rsidRDefault="00E96E4C" w:rsidP="00D83FF4">
      <w:pPr>
        <w:jc w:val="both"/>
        <w:rPr>
          <w:rFonts w:ascii="Times New Roman" w:hAnsi="Times New Roman" w:cs="Times New Roman"/>
        </w:rPr>
      </w:pPr>
      <w:r>
        <w:rPr>
          <w:rFonts w:ascii="Times New Roman" w:hAnsi="Times New Roman" w:cs="Times New Roman"/>
        </w:rPr>
        <w:t>G</w:t>
      </w:r>
      <w:r w:rsidR="00A87932">
        <w:rPr>
          <w:rFonts w:ascii="Times New Roman" w:hAnsi="Times New Roman" w:cs="Times New Roman"/>
        </w:rPr>
        <w:t>oing back to the public choice explanation sketched in section 3, what should we make of the Member States’ substantial acquiescence to the action of the Commission? In the highly regulated framework of the EU, it is highly unlikely this type of informal consent could make the scenario legal. If not legal, though, it can make it acceptable from a political standpoint. But, lacking clear constitutional references, this is an unstable political equilibrium.</w:t>
      </w:r>
    </w:p>
    <w:p w14:paraId="74B9B210" w14:textId="77777777" w:rsidR="00A87932" w:rsidRDefault="00A87932" w:rsidP="00D83FF4">
      <w:pPr>
        <w:jc w:val="both"/>
        <w:rPr>
          <w:rFonts w:ascii="Times New Roman" w:hAnsi="Times New Roman" w:cs="Times New Roman"/>
        </w:rPr>
      </w:pPr>
    </w:p>
    <w:p w14:paraId="46F42DD1" w14:textId="4B54BE2C" w:rsidR="00D83FF4" w:rsidRDefault="001D706B" w:rsidP="00D83FF4">
      <w:pPr>
        <w:jc w:val="both"/>
        <w:rPr>
          <w:rFonts w:ascii="Times New Roman" w:hAnsi="Times New Roman" w:cs="Times New Roman"/>
        </w:rPr>
      </w:pPr>
      <w:r>
        <w:rPr>
          <w:rFonts w:ascii="Times New Roman" w:hAnsi="Times New Roman" w:cs="Times New Roman"/>
        </w:rPr>
        <w:t xml:space="preserve">Let me further explain this ambivalence. International organisations </w:t>
      </w:r>
      <w:r w:rsidR="00D3479C">
        <w:rPr>
          <w:rFonts w:ascii="Times New Roman" w:hAnsi="Times New Roman" w:cs="Times New Roman"/>
        </w:rPr>
        <w:t xml:space="preserve">emerged from </w:t>
      </w:r>
      <w:r>
        <w:rPr>
          <w:rFonts w:ascii="Times New Roman" w:hAnsi="Times New Roman" w:cs="Times New Roman"/>
        </w:rPr>
        <w:t>WWII</w:t>
      </w:r>
      <w:r w:rsidR="00D3479C">
        <w:rPr>
          <w:rFonts w:ascii="Times New Roman" w:hAnsi="Times New Roman" w:cs="Times New Roman"/>
        </w:rPr>
        <w:t xml:space="preserve"> (including the EU) created – and benefited from – a relatively and continuously stable environment. The world has been changing, and very fast, in the recent years. Fast action, and reaction, has become imperative. However, the old political and legal structures of the EU, and especially an enlarged-to-27 Members EU, are finding it difficult to adapt to the new reality.</w:t>
      </w:r>
      <w:r w:rsidR="00E05451">
        <w:rPr>
          <w:rStyle w:val="FootnoteReference"/>
          <w:rFonts w:ascii="Times New Roman" w:hAnsi="Times New Roman" w:cs="Times New Roman"/>
        </w:rPr>
        <w:footnoteReference w:id="35"/>
      </w:r>
      <w:r w:rsidR="00D3479C">
        <w:rPr>
          <w:rFonts w:ascii="Times New Roman" w:hAnsi="Times New Roman" w:cs="Times New Roman"/>
        </w:rPr>
        <w:t xml:space="preserve"> </w:t>
      </w:r>
      <w:r w:rsidR="00D83FF4">
        <w:rPr>
          <w:rFonts w:ascii="Times New Roman" w:hAnsi="Times New Roman" w:cs="Times New Roman"/>
        </w:rPr>
        <w:lastRenderedPageBreak/>
        <w:t>This certainly applies to the spending power the Member States or the EU can devote to their industries.</w:t>
      </w:r>
    </w:p>
    <w:p w14:paraId="1842D0F6" w14:textId="77777777" w:rsidR="00D83FF4" w:rsidRDefault="00D83FF4" w:rsidP="00D83FF4">
      <w:pPr>
        <w:jc w:val="both"/>
        <w:rPr>
          <w:rFonts w:ascii="Times New Roman" w:hAnsi="Times New Roman" w:cs="Times New Roman"/>
        </w:rPr>
      </w:pPr>
    </w:p>
    <w:p w14:paraId="6021FF17" w14:textId="19D0A80B" w:rsidR="00D3479C" w:rsidRPr="00D3479C" w:rsidRDefault="00D3479C" w:rsidP="00D83FF4">
      <w:pPr>
        <w:jc w:val="both"/>
        <w:rPr>
          <w:rFonts w:ascii="Times New Roman" w:hAnsi="Times New Roman" w:cs="Times New Roman"/>
        </w:rPr>
      </w:pPr>
      <w:r>
        <w:rPr>
          <w:rFonts w:ascii="Times New Roman" w:hAnsi="Times New Roman" w:cs="Times New Roman"/>
        </w:rPr>
        <w:t>Authoritative voices have called for action, and a fast one.</w:t>
      </w:r>
      <w:r>
        <w:rPr>
          <w:rStyle w:val="FootnoteReference"/>
          <w:rFonts w:ascii="Times New Roman" w:hAnsi="Times New Roman" w:cs="Times New Roman"/>
        </w:rPr>
        <w:footnoteReference w:id="36"/>
      </w:r>
      <w:r>
        <w:rPr>
          <w:rFonts w:ascii="Times New Roman" w:hAnsi="Times New Roman" w:cs="Times New Roman"/>
        </w:rPr>
        <w:t xml:space="preserve"> In his report Mario Draghi noted how current EU governance architecture is not fit to the job anymore, decision-making and legislative processes are too slow, and EU countries should upgrade their cooperation into what he called “pragmatic federalism”. </w:t>
      </w:r>
      <w:r w:rsidRPr="00D3479C">
        <w:rPr>
          <w:rFonts w:ascii="Times New Roman" w:hAnsi="Times New Roman" w:cs="Times New Roman"/>
        </w:rPr>
        <w:t>In areas where consensus is slow or impossible (such as defence, industrial policy, and foreign affairs), coalitions of willing EU member states should move forward with deeper integration, even if others do not join initially.</w:t>
      </w:r>
      <w:r w:rsidR="00B93B64">
        <w:rPr>
          <w:rStyle w:val="FootnoteReference"/>
          <w:rFonts w:ascii="Times New Roman" w:hAnsi="Times New Roman" w:cs="Times New Roman"/>
        </w:rPr>
        <w:footnoteReference w:id="37"/>
      </w:r>
      <w:r>
        <w:rPr>
          <w:rFonts w:ascii="Times New Roman" w:hAnsi="Times New Roman" w:cs="Times New Roman"/>
        </w:rPr>
        <w:t xml:space="preserve"> This would be variable geometry</w:t>
      </w:r>
      <w:r w:rsidR="00B93B64">
        <w:rPr>
          <w:rFonts w:ascii="Times New Roman" w:hAnsi="Times New Roman" w:cs="Times New Roman"/>
        </w:rPr>
        <w:t xml:space="preserve">, </w:t>
      </w:r>
      <w:r>
        <w:rPr>
          <w:rFonts w:ascii="Times New Roman" w:hAnsi="Times New Roman" w:cs="Times New Roman"/>
        </w:rPr>
        <w:t>something already well-known in the EU</w:t>
      </w:r>
      <w:r w:rsidR="00B93B64">
        <w:rPr>
          <w:rFonts w:ascii="Times New Roman" w:hAnsi="Times New Roman" w:cs="Times New Roman"/>
        </w:rPr>
        <w:t>, but, given the ambition</w:t>
      </w:r>
      <w:r w:rsidR="00BE0B71">
        <w:rPr>
          <w:rFonts w:ascii="Times New Roman" w:hAnsi="Times New Roman" w:cs="Times New Roman"/>
        </w:rPr>
        <w:t xml:space="preserve"> and the possible implications</w:t>
      </w:r>
      <w:r w:rsidR="00B93B64">
        <w:rPr>
          <w:rFonts w:ascii="Times New Roman" w:hAnsi="Times New Roman" w:cs="Times New Roman"/>
        </w:rPr>
        <w:t>,</w:t>
      </w:r>
      <w:r>
        <w:rPr>
          <w:rFonts w:ascii="Times New Roman" w:hAnsi="Times New Roman" w:cs="Times New Roman"/>
        </w:rPr>
        <w:t xml:space="preserve"> </w:t>
      </w:r>
      <w:r w:rsidR="000A3996">
        <w:rPr>
          <w:rFonts w:ascii="Times New Roman" w:hAnsi="Times New Roman" w:cs="Times New Roman"/>
        </w:rPr>
        <w:t xml:space="preserve">it would be </w:t>
      </w:r>
      <w:r w:rsidR="00BE0B71">
        <w:rPr>
          <w:rFonts w:ascii="Times New Roman" w:hAnsi="Times New Roman" w:cs="Times New Roman"/>
        </w:rPr>
        <w:t xml:space="preserve">variable geometry </w:t>
      </w:r>
      <w:r>
        <w:rPr>
          <w:rFonts w:ascii="Times New Roman" w:hAnsi="Times New Roman" w:cs="Times New Roman"/>
        </w:rPr>
        <w:t>on steroids.</w:t>
      </w:r>
      <w:r w:rsidR="00A93CE7">
        <w:rPr>
          <w:rFonts w:ascii="Times New Roman" w:hAnsi="Times New Roman" w:cs="Times New Roman"/>
        </w:rPr>
        <w:t xml:space="preserve"> Quite interestingly, to ensure coherence and avoid market fragmentation, one of the suggestions is to move from national State aid to EU funding for large-scale, strategic projects.</w:t>
      </w:r>
      <w:r w:rsidR="00A93CE7">
        <w:rPr>
          <w:rStyle w:val="FootnoteReference"/>
          <w:rFonts w:ascii="Times New Roman" w:hAnsi="Times New Roman" w:cs="Times New Roman"/>
        </w:rPr>
        <w:footnoteReference w:id="38"/>
      </w:r>
    </w:p>
    <w:p w14:paraId="007856D7" w14:textId="77777777" w:rsidR="00D3479C" w:rsidRDefault="00D3479C" w:rsidP="00D83FF4">
      <w:pPr>
        <w:jc w:val="both"/>
        <w:rPr>
          <w:rFonts w:ascii="Times New Roman" w:hAnsi="Times New Roman" w:cs="Times New Roman"/>
        </w:rPr>
      </w:pPr>
    </w:p>
    <w:p w14:paraId="69D604A0" w14:textId="77777777" w:rsidR="005726C9" w:rsidRPr="00C46092" w:rsidRDefault="005726C9" w:rsidP="00D83FF4">
      <w:pPr>
        <w:jc w:val="both"/>
        <w:rPr>
          <w:rFonts w:ascii="Times New Roman" w:hAnsi="Times New Roman" w:cs="Times New Roman"/>
        </w:rPr>
      </w:pPr>
    </w:p>
    <w:p w14:paraId="05CD55CD" w14:textId="4210AFD6" w:rsidR="005726C9" w:rsidRPr="00C46092" w:rsidRDefault="00C13E0A" w:rsidP="000A6398">
      <w:pPr>
        <w:pStyle w:val="ListParagraph"/>
        <w:numPr>
          <w:ilvl w:val="0"/>
          <w:numId w:val="5"/>
        </w:numPr>
        <w:jc w:val="both"/>
        <w:rPr>
          <w:rFonts w:ascii="Times New Roman" w:hAnsi="Times New Roman" w:cs="Times New Roman"/>
          <w:b/>
          <w:bCs/>
        </w:rPr>
      </w:pPr>
      <w:r w:rsidRPr="00C46092">
        <w:rPr>
          <w:rFonts w:ascii="Times New Roman" w:hAnsi="Times New Roman" w:cs="Times New Roman"/>
          <w:b/>
          <w:bCs/>
        </w:rPr>
        <w:t xml:space="preserve">The conflict between original and </w:t>
      </w:r>
      <w:r w:rsidR="009445D2" w:rsidRPr="00C46092">
        <w:rPr>
          <w:rFonts w:ascii="Times New Roman" w:hAnsi="Times New Roman" w:cs="Times New Roman"/>
          <w:b/>
          <w:bCs/>
        </w:rPr>
        <w:t>changing</w:t>
      </w:r>
      <w:r w:rsidRPr="00C46092">
        <w:rPr>
          <w:rFonts w:ascii="Times New Roman" w:hAnsi="Times New Roman" w:cs="Times New Roman"/>
          <w:b/>
          <w:bCs/>
        </w:rPr>
        <w:t xml:space="preserve"> Constitutions</w:t>
      </w:r>
      <w:r w:rsidR="005F759D" w:rsidRPr="00C46092">
        <w:rPr>
          <w:rFonts w:ascii="Times New Roman" w:hAnsi="Times New Roman" w:cs="Times New Roman"/>
          <w:b/>
          <w:bCs/>
        </w:rPr>
        <w:t>:</w:t>
      </w:r>
      <w:r w:rsidRPr="00C46092">
        <w:rPr>
          <w:rFonts w:ascii="Times New Roman" w:hAnsi="Times New Roman" w:cs="Times New Roman"/>
          <w:b/>
          <w:bCs/>
        </w:rPr>
        <w:t xml:space="preserve"> </w:t>
      </w:r>
      <w:r w:rsidR="005726C9" w:rsidRPr="00C46092">
        <w:rPr>
          <w:rFonts w:ascii="Times New Roman" w:hAnsi="Times New Roman" w:cs="Times New Roman"/>
          <w:b/>
          <w:bCs/>
        </w:rPr>
        <w:t xml:space="preserve">What </w:t>
      </w:r>
      <w:r w:rsidR="000D7A9D" w:rsidRPr="00C46092">
        <w:rPr>
          <w:rFonts w:ascii="Times New Roman" w:hAnsi="Times New Roman" w:cs="Times New Roman"/>
          <w:b/>
          <w:bCs/>
        </w:rPr>
        <w:t>to do</w:t>
      </w:r>
      <w:r w:rsidR="005726C9" w:rsidRPr="00C46092">
        <w:rPr>
          <w:rFonts w:ascii="Times New Roman" w:hAnsi="Times New Roman" w:cs="Times New Roman"/>
          <w:b/>
          <w:bCs/>
        </w:rPr>
        <w:t>?</w:t>
      </w:r>
    </w:p>
    <w:p w14:paraId="7DDA4C0C" w14:textId="77777777" w:rsidR="005726C9" w:rsidRPr="00C46092" w:rsidRDefault="005726C9" w:rsidP="00D83FF4">
      <w:pPr>
        <w:jc w:val="both"/>
        <w:rPr>
          <w:rFonts w:ascii="Times New Roman" w:hAnsi="Times New Roman" w:cs="Times New Roman"/>
        </w:rPr>
      </w:pPr>
    </w:p>
    <w:p w14:paraId="7BE1C03D" w14:textId="156720ED" w:rsidR="005726C9" w:rsidRDefault="00527B91" w:rsidP="00D83FF4">
      <w:pPr>
        <w:jc w:val="both"/>
        <w:rPr>
          <w:rFonts w:ascii="Times New Roman" w:hAnsi="Times New Roman" w:cs="Times New Roman"/>
        </w:rPr>
      </w:pPr>
      <w:r>
        <w:rPr>
          <w:rFonts w:ascii="Times New Roman" w:hAnsi="Times New Roman" w:cs="Times New Roman"/>
        </w:rPr>
        <w:t>As Claus</w:t>
      </w:r>
      <w:r w:rsidR="005726C9" w:rsidRPr="00C46092">
        <w:rPr>
          <w:rFonts w:ascii="Times New Roman" w:hAnsi="Times New Roman" w:cs="Times New Roman"/>
        </w:rPr>
        <w:t xml:space="preserve"> </w:t>
      </w:r>
      <w:proofErr w:type="spellStart"/>
      <w:r>
        <w:rPr>
          <w:rFonts w:ascii="Times New Roman" w:hAnsi="Times New Roman" w:cs="Times New Roman"/>
        </w:rPr>
        <w:t>Ehlermann</w:t>
      </w:r>
      <w:proofErr w:type="spellEnd"/>
      <w:r>
        <w:rPr>
          <w:rFonts w:ascii="Times New Roman" w:hAnsi="Times New Roman" w:cs="Times New Roman"/>
        </w:rPr>
        <w:t xml:space="preserve"> noted, </w:t>
      </w:r>
      <w:r w:rsidR="005726C9" w:rsidRPr="00C46092">
        <w:rPr>
          <w:rFonts w:ascii="Times New Roman" w:hAnsi="Times New Roman" w:cs="Times New Roman"/>
        </w:rPr>
        <w:t>State aid and its control cannot be</w:t>
      </w:r>
      <w:r w:rsidR="00A93CE7">
        <w:rPr>
          <w:rFonts w:ascii="Times New Roman" w:hAnsi="Times New Roman" w:cs="Times New Roman"/>
        </w:rPr>
        <w:t xml:space="preserve"> -</w:t>
      </w:r>
      <w:r w:rsidR="005726C9" w:rsidRPr="00C46092">
        <w:rPr>
          <w:rFonts w:ascii="Times New Roman" w:hAnsi="Times New Roman" w:cs="Times New Roman"/>
        </w:rPr>
        <w:t xml:space="preserve"> have never been</w:t>
      </w:r>
      <w:r w:rsidR="00A93CE7">
        <w:rPr>
          <w:rFonts w:ascii="Times New Roman" w:hAnsi="Times New Roman" w:cs="Times New Roman"/>
        </w:rPr>
        <w:t xml:space="preserve"> -</w:t>
      </w:r>
      <w:r w:rsidR="005726C9" w:rsidRPr="00C46092">
        <w:rPr>
          <w:rFonts w:ascii="Times New Roman" w:hAnsi="Times New Roman" w:cs="Times New Roman"/>
        </w:rPr>
        <w:t xml:space="preserve"> left, to “experts” only.</w:t>
      </w:r>
      <w:r w:rsidR="005B79F7">
        <w:rPr>
          <w:rStyle w:val="FootnoteReference"/>
          <w:rFonts w:ascii="Times New Roman" w:hAnsi="Times New Roman" w:cs="Times New Roman"/>
        </w:rPr>
        <w:footnoteReference w:id="39"/>
      </w:r>
      <w:r w:rsidR="005726C9" w:rsidRPr="00C46092">
        <w:rPr>
          <w:rFonts w:ascii="Times New Roman" w:hAnsi="Times New Roman" w:cs="Times New Roman"/>
        </w:rPr>
        <w:t xml:space="preserve"> They are inherently political, and, in times of crisis, the political questions to answer are of the highest level.</w:t>
      </w:r>
      <w:r>
        <w:rPr>
          <w:rFonts w:ascii="Times New Roman" w:hAnsi="Times New Roman" w:cs="Times New Roman"/>
        </w:rPr>
        <w:t xml:space="preserve"> This political dimension has reached new heights in recent years with the significant transformation, through practice, of State aid control.</w:t>
      </w:r>
    </w:p>
    <w:p w14:paraId="09A1050A" w14:textId="77777777" w:rsidR="00527B91" w:rsidRDefault="00527B91" w:rsidP="00D83FF4">
      <w:pPr>
        <w:jc w:val="both"/>
        <w:rPr>
          <w:rFonts w:ascii="Times New Roman" w:hAnsi="Times New Roman" w:cs="Times New Roman"/>
        </w:rPr>
      </w:pPr>
    </w:p>
    <w:p w14:paraId="32E4F462" w14:textId="2D1426D3" w:rsidR="005B79F7" w:rsidRDefault="00527B91" w:rsidP="00527B91">
      <w:pPr>
        <w:jc w:val="both"/>
        <w:rPr>
          <w:rFonts w:ascii="Times New Roman" w:hAnsi="Times New Roman" w:cs="Times New Roman"/>
        </w:rPr>
      </w:pPr>
      <w:r>
        <w:rPr>
          <w:rFonts w:ascii="Times New Roman" w:hAnsi="Times New Roman" w:cs="Times New Roman"/>
        </w:rPr>
        <w:t>This transformation begs important questions which Member States and the EU should soon find answers to</w:t>
      </w:r>
      <w:r w:rsidR="00525DFF">
        <w:rPr>
          <w:rFonts w:ascii="Times New Roman" w:hAnsi="Times New Roman" w:cs="Times New Roman"/>
        </w:rPr>
        <w:t>.</w:t>
      </w:r>
    </w:p>
    <w:p w14:paraId="10CA02DA" w14:textId="77777777" w:rsidR="005B79F7" w:rsidRDefault="005B79F7" w:rsidP="00527B91">
      <w:pPr>
        <w:jc w:val="both"/>
        <w:rPr>
          <w:rFonts w:ascii="Times New Roman" w:hAnsi="Times New Roman" w:cs="Times New Roman"/>
        </w:rPr>
      </w:pPr>
    </w:p>
    <w:p w14:paraId="7B159DDF" w14:textId="77777777" w:rsidR="00525DFF" w:rsidRDefault="005726C9" w:rsidP="00D83FF4">
      <w:pPr>
        <w:jc w:val="both"/>
        <w:rPr>
          <w:rFonts w:ascii="Times New Roman" w:hAnsi="Times New Roman" w:cs="Times New Roman"/>
        </w:rPr>
      </w:pPr>
      <w:r w:rsidRPr="00C46092">
        <w:rPr>
          <w:rFonts w:ascii="Times New Roman" w:hAnsi="Times New Roman" w:cs="Times New Roman"/>
        </w:rPr>
        <w:t>Why State aid control</w:t>
      </w:r>
      <w:r w:rsidR="00527B91">
        <w:rPr>
          <w:rFonts w:ascii="Times New Roman" w:hAnsi="Times New Roman" w:cs="Times New Roman"/>
        </w:rPr>
        <w:t xml:space="preserve"> in the current geopolitical climate</w:t>
      </w:r>
      <w:r w:rsidRPr="00C46092">
        <w:rPr>
          <w:rFonts w:ascii="Times New Roman" w:hAnsi="Times New Roman" w:cs="Times New Roman"/>
        </w:rPr>
        <w:t xml:space="preserve">? </w:t>
      </w:r>
      <w:r w:rsidR="005E0E62">
        <w:rPr>
          <w:rFonts w:ascii="Times New Roman" w:hAnsi="Times New Roman" w:cs="Times New Roman"/>
        </w:rPr>
        <w:t xml:space="preserve">Can the State aid constitution sustain the current </w:t>
      </w:r>
      <w:r w:rsidRPr="00C46092">
        <w:rPr>
          <w:rFonts w:ascii="Times New Roman" w:hAnsi="Times New Roman" w:cs="Times New Roman"/>
        </w:rPr>
        <w:t>re-orientation? Wh</w:t>
      </w:r>
      <w:r w:rsidR="005E0E62">
        <w:rPr>
          <w:rFonts w:ascii="Times New Roman" w:hAnsi="Times New Roman" w:cs="Times New Roman"/>
        </w:rPr>
        <w:t>at kind of industrial policy do we need and want?</w:t>
      </w:r>
    </w:p>
    <w:p w14:paraId="17F50A6B" w14:textId="77777777" w:rsidR="00525DFF" w:rsidRDefault="00525DFF" w:rsidP="00D83FF4">
      <w:pPr>
        <w:jc w:val="both"/>
        <w:rPr>
          <w:rFonts w:ascii="Times New Roman" w:hAnsi="Times New Roman" w:cs="Times New Roman"/>
        </w:rPr>
      </w:pPr>
    </w:p>
    <w:p w14:paraId="4E743D32" w14:textId="075661DD" w:rsidR="00525DFF" w:rsidRDefault="005E0E62" w:rsidP="00D83FF4">
      <w:pPr>
        <w:jc w:val="both"/>
        <w:rPr>
          <w:rFonts w:ascii="Times New Roman" w:hAnsi="Times New Roman" w:cs="Times New Roman"/>
        </w:rPr>
      </w:pPr>
      <w:r>
        <w:rPr>
          <w:rFonts w:ascii="Times New Roman" w:hAnsi="Times New Roman" w:cs="Times New Roman"/>
        </w:rPr>
        <w:t>What is for the Member States and what is for the EU?</w:t>
      </w:r>
    </w:p>
    <w:p w14:paraId="64F307D8" w14:textId="77777777" w:rsidR="00525DFF" w:rsidRDefault="00525DFF" w:rsidP="00D83FF4">
      <w:pPr>
        <w:jc w:val="both"/>
        <w:rPr>
          <w:rFonts w:ascii="Times New Roman" w:hAnsi="Times New Roman" w:cs="Times New Roman"/>
        </w:rPr>
      </w:pPr>
    </w:p>
    <w:p w14:paraId="3D51840F" w14:textId="0B14F7A6" w:rsidR="003F4420" w:rsidRDefault="005E0E62" w:rsidP="00D83FF4">
      <w:pPr>
        <w:jc w:val="both"/>
        <w:rPr>
          <w:rFonts w:ascii="Times New Roman" w:hAnsi="Times New Roman" w:cs="Times New Roman"/>
        </w:rPr>
      </w:pPr>
      <w:r>
        <w:rPr>
          <w:rFonts w:ascii="Times New Roman" w:hAnsi="Times New Roman" w:cs="Times New Roman"/>
        </w:rPr>
        <w:t>Is variable geometry</w:t>
      </w:r>
      <w:r w:rsidR="005B79F7">
        <w:rPr>
          <w:rFonts w:ascii="Times New Roman" w:hAnsi="Times New Roman" w:cs="Times New Roman"/>
        </w:rPr>
        <w:t xml:space="preserve"> or “double-speed” Europe</w:t>
      </w:r>
      <w:r>
        <w:rPr>
          <w:rFonts w:ascii="Times New Roman" w:hAnsi="Times New Roman" w:cs="Times New Roman"/>
        </w:rPr>
        <w:t xml:space="preserve"> t</w:t>
      </w:r>
      <w:r w:rsidR="005B79F7">
        <w:rPr>
          <w:rFonts w:ascii="Times New Roman" w:hAnsi="Times New Roman" w:cs="Times New Roman"/>
        </w:rPr>
        <w:t>he</w:t>
      </w:r>
      <w:r>
        <w:rPr>
          <w:rFonts w:ascii="Times New Roman" w:hAnsi="Times New Roman" w:cs="Times New Roman"/>
        </w:rPr>
        <w:t xml:space="preserve"> path to follow? </w:t>
      </w:r>
      <w:r w:rsidR="005B79F7">
        <w:rPr>
          <w:rFonts w:ascii="Times New Roman" w:hAnsi="Times New Roman" w:cs="Times New Roman"/>
        </w:rPr>
        <w:t xml:space="preserve">If so, </w:t>
      </w:r>
      <w:r w:rsidR="00525DFF">
        <w:rPr>
          <w:rFonts w:ascii="Times New Roman" w:hAnsi="Times New Roman" w:cs="Times New Roman"/>
        </w:rPr>
        <w:t xml:space="preserve">considering that </w:t>
      </w:r>
      <w:r w:rsidR="005B79F7">
        <w:rPr>
          <w:rFonts w:ascii="Times New Roman" w:hAnsi="Times New Roman" w:cs="Times New Roman"/>
        </w:rPr>
        <w:t>t</w:t>
      </w:r>
      <w:r>
        <w:rPr>
          <w:rFonts w:ascii="Times New Roman" w:hAnsi="Times New Roman" w:cs="Times New Roman"/>
        </w:rPr>
        <w:t>reaty-change may be difficult and long</w:t>
      </w:r>
      <w:r w:rsidR="00525DFF">
        <w:rPr>
          <w:rFonts w:ascii="Times New Roman" w:hAnsi="Times New Roman" w:cs="Times New Roman"/>
        </w:rPr>
        <w:t>, w</w:t>
      </w:r>
      <w:r>
        <w:rPr>
          <w:rFonts w:ascii="Times New Roman" w:hAnsi="Times New Roman" w:cs="Times New Roman"/>
        </w:rPr>
        <w:t xml:space="preserve"> hat interim solutions can be thought of? </w:t>
      </w:r>
      <w:r w:rsidR="005B79F7">
        <w:rPr>
          <w:rFonts w:ascii="Times New Roman" w:hAnsi="Times New Roman" w:cs="Times New Roman"/>
        </w:rPr>
        <w:t>Should these solutions be found within the EU framework or outside it? If the latter, h</w:t>
      </w:r>
      <w:r>
        <w:rPr>
          <w:rFonts w:ascii="Times New Roman" w:hAnsi="Times New Roman" w:cs="Times New Roman"/>
        </w:rPr>
        <w:t>ow should these be coordinated with EU law?</w:t>
      </w:r>
    </w:p>
    <w:p w14:paraId="67AC1D52" w14:textId="77777777" w:rsidR="00525DFF" w:rsidRDefault="00525DFF" w:rsidP="00D83FF4">
      <w:pPr>
        <w:jc w:val="both"/>
        <w:rPr>
          <w:rFonts w:ascii="Times New Roman" w:hAnsi="Times New Roman" w:cs="Times New Roman"/>
        </w:rPr>
      </w:pPr>
    </w:p>
    <w:p w14:paraId="49C5057F" w14:textId="2C638A3D" w:rsidR="00525DFF" w:rsidRPr="00C46092" w:rsidRDefault="00525DFF" w:rsidP="00D83FF4">
      <w:pPr>
        <w:jc w:val="both"/>
        <w:rPr>
          <w:rFonts w:ascii="Times New Roman" w:hAnsi="Times New Roman" w:cs="Times New Roman"/>
        </w:rPr>
      </w:pPr>
      <w:r>
        <w:rPr>
          <w:rFonts w:ascii="Times New Roman" w:hAnsi="Times New Roman" w:cs="Times New Roman"/>
        </w:rPr>
        <w:t>It is the answers to these questions that will shape the future of EU State aid law and policy (indeed of the EU and large) and will contribute to solving some of the conflicts that characterise the field.</w:t>
      </w:r>
    </w:p>
    <w:sectPr w:rsidR="00525DFF" w:rsidRPr="00C46092" w:rsidSect="002E3156">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A6082F" w14:textId="77777777" w:rsidR="00123286" w:rsidRDefault="00123286" w:rsidP="00A94E0E">
      <w:r>
        <w:separator/>
      </w:r>
    </w:p>
  </w:endnote>
  <w:endnote w:type="continuationSeparator" w:id="0">
    <w:p w14:paraId="66C81BB4" w14:textId="77777777" w:rsidR="00123286" w:rsidRDefault="00123286" w:rsidP="00A94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21066980"/>
      <w:docPartObj>
        <w:docPartGallery w:val="Page Numbers (Bottom of Page)"/>
        <w:docPartUnique/>
      </w:docPartObj>
    </w:sdtPr>
    <w:sdtContent>
      <w:p w14:paraId="7B196333" w14:textId="4505FB18" w:rsidR="001732D3" w:rsidRDefault="001732D3" w:rsidP="003331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C217D7" w14:textId="77777777" w:rsidR="001732D3" w:rsidRDefault="001732D3" w:rsidP="001732D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68089590"/>
      <w:docPartObj>
        <w:docPartGallery w:val="Page Numbers (Bottom of Page)"/>
        <w:docPartUnique/>
      </w:docPartObj>
    </w:sdtPr>
    <w:sdtContent>
      <w:p w14:paraId="7F98D652" w14:textId="68BBAEA9" w:rsidR="001732D3" w:rsidRDefault="001732D3" w:rsidP="003331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8A52D7" w14:textId="77777777" w:rsidR="001732D3" w:rsidRDefault="001732D3" w:rsidP="001732D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169888" w14:textId="77777777" w:rsidR="00123286" w:rsidRDefault="00123286" w:rsidP="00A94E0E">
      <w:r>
        <w:separator/>
      </w:r>
    </w:p>
  </w:footnote>
  <w:footnote w:type="continuationSeparator" w:id="0">
    <w:p w14:paraId="028BD3C3" w14:textId="77777777" w:rsidR="00123286" w:rsidRDefault="00123286" w:rsidP="00A94E0E">
      <w:r>
        <w:continuationSeparator/>
      </w:r>
    </w:p>
  </w:footnote>
  <w:footnote w:id="1">
    <w:p w14:paraId="4B419560" w14:textId="2B31DE6A" w:rsidR="00FC0DD7" w:rsidRPr="00A93CE7" w:rsidRDefault="00FC0DD7" w:rsidP="00FC0DD7">
      <w:pPr>
        <w:pStyle w:val="FootnoteText"/>
        <w:rPr>
          <w:rFonts w:ascii="Times New Roman" w:hAnsi="Times New Roman" w:cs="Times New Roman"/>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See Erich Vranes, “The Definition of ‘Norm Conflict’ in International Law and Legal Theory” (2006) European Journal of International Law, 395–418. Not only does t</w:t>
      </w:r>
      <w:r w:rsidRPr="00A93CE7">
        <w:rPr>
          <w:rFonts w:ascii="Times New Roman" w:hAnsi="Times New Roman" w:cs="Times New Roman"/>
        </w:rPr>
        <w:t>his broad definition of conflict apply to incompatibilities between prescriptive norms as well as permissive norms but also to a conflict of competences.</w:t>
      </w:r>
    </w:p>
  </w:footnote>
  <w:footnote w:id="2">
    <w:p w14:paraId="5186CAD3" w14:textId="073A1971" w:rsidR="00837675" w:rsidRPr="00A93CE7" w:rsidRDefault="00837675">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While this is a fairly accurate characterization of the WTO subsidy system as it is in force in 2026, international trade subsidy disciplines have featured a significant evolution since the 1947 GATT.</w:t>
      </w:r>
      <w:r w:rsidR="00B1121B" w:rsidRPr="00A93CE7">
        <w:rPr>
          <w:rFonts w:ascii="Times New Roman" w:hAnsi="Times New Roman" w:cs="Times New Roman"/>
          <w:color w:val="000000" w:themeColor="text1"/>
          <w:lang w:val="en-US"/>
        </w:rPr>
        <w:t xml:space="preserve"> For more details see </w:t>
      </w:r>
      <w:r w:rsidR="00A87932" w:rsidRPr="00A93CE7">
        <w:rPr>
          <w:rFonts w:ascii="Times New Roman" w:hAnsi="Times New Roman" w:cs="Times New Roman"/>
          <w:color w:val="000000" w:themeColor="text1"/>
          <w:lang w:val="en-US"/>
        </w:rPr>
        <w:t xml:space="preserve">Petros </w:t>
      </w:r>
      <w:proofErr w:type="spellStart"/>
      <w:r w:rsidR="00A87932" w:rsidRPr="00A93CE7">
        <w:rPr>
          <w:rFonts w:ascii="Times New Roman" w:hAnsi="Times New Roman" w:cs="Times New Roman"/>
          <w:color w:val="000000" w:themeColor="text1"/>
          <w:lang w:val="en-US"/>
        </w:rPr>
        <w:t>Mavroidis</w:t>
      </w:r>
      <w:proofErr w:type="spellEnd"/>
      <w:r w:rsidR="00A87932" w:rsidRPr="00A93CE7">
        <w:rPr>
          <w:rFonts w:ascii="Times New Roman" w:hAnsi="Times New Roman" w:cs="Times New Roman"/>
          <w:color w:val="000000" w:themeColor="text1"/>
          <w:lang w:val="en-US"/>
        </w:rPr>
        <w:t xml:space="preserve">, </w:t>
      </w:r>
      <w:r w:rsidR="00A87932" w:rsidRPr="00A93CE7">
        <w:rPr>
          <w:rFonts w:ascii="Times New Roman" w:hAnsi="Times New Roman" w:cs="Times New Roman"/>
          <w:i/>
          <w:iCs/>
          <w:color w:val="000000" w:themeColor="text1"/>
          <w:lang w:val="en-US"/>
        </w:rPr>
        <w:t>Trade in Goods</w:t>
      </w:r>
      <w:r w:rsidR="00A87932" w:rsidRPr="00A93CE7">
        <w:rPr>
          <w:rFonts w:ascii="Times New Roman" w:hAnsi="Times New Roman" w:cs="Times New Roman"/>
          <w:color w:val="000000" w:themeColor="text1"/>
          <w:lang w:val="en-US"/>
        </w:rPr>
        <w:t>, 2012, Oxford University Press.</w:t>
      </w:r>
    </w:p>
  </w:footnote>
  <w:footnote w:id="3">
    <w:p w14:paraId="29C5B020" w14:textId="354EF3A5" w:rsidR="00B1121B" w:rsidRPr="00A93CE7" w:rsidRDefault="00B1121B">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00DC680F" w:rsidRPr="00A93CE7">
        <w:rPr>
          <w:rFonts w:ascii="Times New Roman" w:hAnsi="Times New Roman" w:cs="Times New Roman"/>
          <w:color w:val="000000" w:themeColor="text1"/>
        </w:rPr>
        <w:t xml:space="preserve">See Luca Rubini ‘ASCM disciplines and recent WTO case law developments: what space for “green” subsidies?’ in Thomas Cottier and Ilaria </w:t>
      </w:r>
      <w:proofErr w:type="spellStart"/>
      <w:r w:rsidR="00DC680F" w:rsidRPr="00A93CE7">
        <w:rPr>
          <w:rFonts w:ascii="Times New Roman" w:hAnsi="Times New Roman" w:cs="Times New Roman"/>
          <w:color w:val="000000" w:themeColor="text1"/>
        </w:rPr>
        <w:t>Espa</w:t>
      </w:r>
      <w:proofErr w:type="spellEnd"/>
      <w:r w:rsidR="00DC680F" w:rsidRPr="00A93CE7">
        <w:rPr>
          <w:rFonts w:ascii="Times New Roman" w:hAnsi="Times New Roman" w:cs="Times New Roman"/>
          <w:color w:val="000000" w:themeColor="text1"/>
        </w:rPr>
        <w:t xml:space="preserve"> (eds) </w:t>
      </w:r>
      <w:r w:rsidR="00DC680F" w:rsidRPr="00A93CE7">
        <w:rPr>
          <w:rFonts w:ascii="Times New Roman" w:hAnsi="Times New Roman" w:cs="Times New Roman"/>
          <w:i/>
          <w:iCs/>
          <w:color w:val="000000" w:themeColor="text1"/>
        </w:rPr>
        <w:t xml:space="preserve">International Trade in Electricity and the Decarbonisation of the Economy. The World Trade Forum 2014 </w:t>
      </w:r>
      <w:r w:rsidR="00DC680F" w:rsidRPr="00A93CE7">
        <w:rPr>
          <w:rFonts w:ascii="Times New Roman" w:hAnsi="Times New Roman" w:cs="Times New Roman"/>
          <w:color w:val="000000" w:themeColor="text1"/>
        </w:rPr>
        <w:t>(</w:t>
      </w:r>
      <w:r w:rsidR="006E64FD" w:rsidRPr="00A93CE7">
        <w:rPr>
          <w:rFonts w:ascii="Times New Roman" w:hAnsi="Times New Roman" w:cs="Times New Roman"/>
          <w:color w:val="000000" w:themeColor="text1"/>
        </w:rPr>
        <w:t xml:space="preserve">2017: </w:t>
      </w:r>
      <w:r w:rsidR="00DC680F" w:rsidRPr="00A93CE7">
        <w:rPr>
          <w:rFonts w:ascii="Times New Roman" w:hAnsi="Times New Roman" w:cs="Times New Roman"/>
          <w:color w:val="000000" w:themeColor="text1"/>
        </w:rPr>
        <w:t>Cambridge: Cambridge University Press), 311-355</w:t>
      </w:r>
    </w:p>
  </w:footnote>
  <w:footnote w:id="4">
    <w:p w14:paraId="62239722" w14:textId="567FDE4F" w:rsidR="00A94E0E" w:rsidRPr="00A93CE7" w:rsidRDefault="00A94E0E">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The Treaty of Rome is nothing short of a Constitution</w:t>
      </w:r>
      <w:r w:rsidR="00DC680F" w:rsidRPr="00A93CE7">
        <w:rPr>
          <w:rFonts w:ascii="Times New Roman" w:hAnsi="Times New Roman" w:cs="Times New Roman"/>
          <w:color w:val="000000" w:themeColor="text1"/>
        </w:rPr>
        <w:t>.</w:t>
      </w:r>
      <w:r w:rsidRPr="00A93CE7">
        <w:rPr>
          <w:rFonts w:ascii="Times New Roman" w:hAnsi="Times New Roman" w:cs="Times New Roman"/>
          <w:color w:val="000000" w:themeColor="text1"/>
        </w:rPr>
        <w:t xml:space="preserve"> When dealing with State aid, the King is </w:t>
      </w:r>
      <w:r w:rsidR="00DC680F" w:rsidRPr="00A93CE7">
        <w:rPr>
          <w:rFonts w:ascii="Times New Roman" w:hAnsi="Times New Roman" w:cs="Times New Roman"/>
          <w:color w:val="000000" w:themeColor="text1"/>
        </w:rPr>
        <w:t>n</w:t>
      </w:r>
      <w:r w:rsidRPr="00A93CE7">
        <w:rPr>
          <w:rFonts w:ascii="Times New Roman" w:hAnsi="Times New Roman" w:cs="Times New Roman"/>
          <w:color w:val="000000" w:themeColor="text1"/>
        </w:rPr>
        <w:t>aked: the relevant Treaty provisions are nothing else than constitutional provisions and we have to call them this way.</w:t>
      </w:r>
    </w:p>
  </w:footnote>
  <w:footnote w:id="5">
    <w:p w14:paraId="5FF0BA83" w14:textId="511E0459" w:rsidR="005D34D4" w:rsidRPr="00A93CE7" w:rsidRDefault="005D34D4">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Case 30/59, </w:t>
      </w:r>
      <w:r w:rsidRPr="00A93CE7">
        <w:rPr>
          <w:rFonts w:ascii="Times New Roman" w:hAnsi="Times New Roman" w:cs="Times New Roman"/>
          <w:i/>
          <w:iCs/>
        </w:rPr>
        <w:t xml:space="preserve">De </w:t>
      </w:r>
      <w:proofErr w:type="spellStart"/>
      <w:r w:rsidRPr="00A93CE7">
        <w:rPr>
          <w:rFonts w:ascii="Times New Roman" w:hAnsi="Times New Roman" w:cs="Times New Roman"/>
          <w:i/>
          <w:iCs/>
        </w:rPr>
        <w:t>Gezamenlijke</w:t>
      </w:r>
      <w:proofErr w:type="spellEnd"/>
      <w:r w:rsidRPr="00A93CE7">
        <w:rPr>
          <w:rFonts w:ascii="Times New Roman" w:hAnsi="Times New Roman" w:cs="Times New Roman"/>
          <w:i/>
          <w:iCs/>
        </w:rPr>
        <w:t xml:space="preserve"> </w:t>
      </w:r>
      <w:proofErr w:type="spellStart"/>
      <w:r w:rsidRPr="00A93CE7">
        <w:rPr>
          <w:rFonts w:ascii="Times New Roman" w:hAnsi="Times New Roman" w:cs="Times New Roman"/>
          <w:i/>
          <w:iCs/>
        </w:rPr>
        <w:t>Steenkolenmijnen</w:t>
      </w:r>
      <w:proofErr w:type="spellEnd"/>
      <w:r w:rsidRPr="00A93CE7">
        <w:rPr>
          <w:rFonts w:ascii="Times New Roman" w:hAnsi="Times New Roman" w:cs="Times New Roman"/>
          <w:i/>
          <w:iCs/>
        </w:rPr>
        <w:t xml:space="preserve"> in Limburg</w:t>
      </w:r>
      <w:r w:rsidRPr="00A93CE7">
        <w:rPr>
          <w:rFonts w:ascii="Times New Roman" w:hAnsi="Times New Roman" w:cs="Times New Roman"/>
        </w:rPr>
        <w:t xml:space="preserve"> v </w:t>
      </w:r>
      <w:r w:rsidRPr="00A93CE7">
        <w:rPr>
          <w:rFonts w:ascii="Times New Roman" w:hAnsi="Times New Roman" w:cs="Times New Roman"/>
          <w:i/>
          <w:iCs/>
        </w:rPr>
        <w:t>High Authority of the European Coal and Steel Community</w:t>
      </w:r>
      <w:r w:rsidRPr="00A93CE7">
        <w:rPr>
          <w:rFonts w:ascii="Times New Roman" w:hAnsi="Times New Roman" w:cs="Times New Roman"/>
        </w:rPr>
        <w:t>, ECLI:EU:C:1961:2</w:t>
      </w:r>
    </w:p>
  </w:footnote>
  <w:footnote w:id="6">
    <w:p w14:paraId="5BA3A6C9" w14:textId="0CD6B863" w:rsidR="00F53338" w:rsidRPr="00A93CE7" w:rsidRDefault="00F53338" w:rsidP="00F53338">
      <w:pPr>
        <w:pStyle w:val="FootnoteText"/>
        <w:rPr>
          <w:rFonts w:ascii="Times New Roman" w:hAnsi="Times New Roman" w:cs="Times New Roman"/>
          <w:color w:val="000000" w:themeColor="text1"/>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00C46092" w:rsidRPr="00A93CE7">
        <w:rPr>
          <w:rFonts w:ascii="Times New Roman" w:hAnsi="Times New Roman" w:cs="Times New Roman"/>
          <w:color w:val="000000" w:themeColor="text1"/>
        </w:rPr>
        <w:t>Defence brief</w:t>
      </w:r>
      <w:r w:rsidRPr="00A93CE7">
        <w:rPr>
          <w:rFonts w:ascii="Times New Roman" w:hAnsi="Times New Roman" w:cs="Times New Roman"/>
          <w:color w:val="000000" w:themeColor="text1"/>
        </w:rPr>
        <w:t>, p</w:t>
      </w:r>
      <w:r w:rsidR="00C46092" w:rsidRPr="00A93CE7">
        <w:rPr>
          <w:rFonts w:ascii="Times New Roman" w:hAnsi="Times New Roman" w:cs="Times New Roman"/>
          <w:color w:val="000000" w:themeColor="text1"/>
        </w:rPr>
        <w:t>age</w:t>
      </w:r>
      <w:r w:rsidRPr="00A93CE7">
        <w:rPr>
          <w:rFonts w:ascii="Times New Roman" w:hAnsi="Times New Roman" w:cs="Times New Roman"/>
          <w:color w:val="000000" w:themeColor="text1"/>
        </w:rPr>
        <w:t xml:space="preserve"> 19, in Dossier </w:t>
      </w:r>
      <w:r w:rsidR="00C46092" w:rsidRPr="00A93CE7">
        <w:rPr>
          <w:rFonts w:ascii="Times New Roman" w:hAnsi="Times New Roman" w:cs="Times New Roman"/>
          <w:color w:val="000000" w:themeColor="text1"/>
        </w:rPr>
        <w:t>Case</w:t>
      </w:r>
      <w:r w:rsidRPr="00A93CE7">
        <w:rPr>
          <w:rFonts w:ascii="Times New Roman" w:hAnsi="Times New Roman" w:cs="Times New Roman"/>
          <w:color w:val="000000" w:themeColor="text1"/>
        </w:rPr>
        <w:t xml:space="preserve"> 30/59 (CJEU-661), </w:t>
      </w:r>
      <w:r w:rsidR="00C46092" w:rsidRPr="00A93CE7">
        <w:rPr>
          <w:rFonts w:ascii="Times New Roman" w:hAnsi="Times New Roman" w:cs="Times New Roman"/>
          <w:color w:val="000000" w:themeColor="text1"/>
        </w:rPr>
        <w:t>HAEU</w:t>
      </w:r>
      <w:r w:rsidR="006577CE" w:rsidRPr="00A93CE7">
        <w:rPr>
          <w:rFonts w:ascii="Times New Roman" w:hAnsi="Times New Roman" w:cs="Times New Roman"/>
          <w:color w:val="000000" w:themeColor="text1"/>
        </w:rPr>
        <w:t xml:space="preserve"> (translation of the author)</w:t>
      </w:r>
      <w:r w:rsidRPr="00A93CE7">
        <w:rPr>
          <w:rFonts w:ascii="Times New Roman" w:hAnsi="Times New Roman" w:cs="Times New Roman"/>
          <w:color w:val="000000" w:themeColor="text1"/>
        </w:rPr>
        <w:t>. For a legal-historical analysis of the case, and its significance for the development of EU State aid law, see Luca Rubini, “Déjà-(pre)vu?</w:t>
      </w:r>
    </w:p>
    <w:p w14:paraId="435D9B96" w14:textId="2E5E2909" w:rsidR="00F53338" w:rsidRPr="00A93CE7" w:rsidRDefault="00F53338" w:rsidP="00F53338">
      <w:pPr>
        <w:pStyle w:val="FootnoteText"/>
        <w:rPr>
          <w:rFonts w:ascii="Times New Roman" w:hAnsi="Times New Roman" w:cs="Times New Roman"/>
          <w:color w:val="000000" w:themeColor="text1"/>
        </w:rPr>
      </w:pPr>
      <w:r w:rsidRPr="00A93CE7">
        <w:rPr>
          <w:rFonts w:ascii="Times New Roman" w:hAnsi="Times New Roman" w:cs="Times New Roman"/>
          <w:color w:val="000000" w:themeColor="text1"/>
        </w:rPr>
        <w:t xml:space="preserve">Alle </w:t>
      </w:r>
      <w:proofErr w:type="spellStart"/>
      <w:r w:rsidRPr="00A93CE7">
        <w:rPr>
          <w:rFonts w:ascii="Times New Roman" w:hAnsi="Times New Roman" w:cs="Times New Roman"/>
          <w:color w:val="000000" w:themeColor="text1"/>
        </w:rPr>
        <w:t>radici</w:t>
      </w:r>
      <w:proofErr w:type="spellEnd"/>
      <w:r w:rsidRPr="00A93CE7">
        <w:rPr>
          <w:rFonts w:ascii="Times New Roman" w:hAnsi="Times New Roman" w:cs="Times New Roman"/>
          <w:color w:val="000000" w:themeColor="text1"/>
        </w:rPr>
        <w:t xml:space="preserve"> </w:t>
      </w:r>
      <w:proofErr w:type="spellStart"/>
      <w:r w:rsidRPr="00A93CE7">
        <w:rPr>
          <w:rFonts w:ascii="Times New Roman" w:hAnsi="Times New Roman" w:cs="Times New Roman"/>
          <w:color w:val="000000" w:themeColor="text1"/>
        </w:rPr>
        <w:t>della</w:t>
      </w:r>
      <w:proofErr w:type="spellEnd"/>
      <w:r w:rsidRPr="00A93CE7">
        <w:rPr>
          <w:rFonts w:ascii="Times New Roman" w:hAnsi="Times New Roman" w:cs="Times New Roman"/>
          <w:color w:val="000000" w:themeColor="text1"/>
        </w:rPr>
        <w:t xml:space="preserve"> </w:t>
      </w:r>
      <w:proofErr w:type="spellStart"/>
      <w:r w:rsidRPr="00A93CE7">
        <w:rPr>
          <w:rFonts w:ascii="Times New Roman" w:hAnsi="Times New Roman" w:cs="Times New Roman"/>
          <w:color w:val="000000" w:themeColor="text1"/>
        </w:rPr>
        <w:t>nozione</w:t>
      </w:r>
      <w:proofErr w:type="spellEnd"/>
      <w:r w:rsidRPr="00A93CE7">
        <w:rPr>
          <w:rFonts w:ascii="Times New Roman" w:hAnsi="Times New Roman" w:cs="Times New Roman"/>
          <w:color w:val="000000" w:themeColor="text1"/>
        </w:rPr>
        <w:t xml:space="preserve"> di «</w:t>
      </w:r>
      <w:proofErr w:type="spellStart"/>
      <w:r w:rsidRPr="00A93CE7">
        <w:rPr>
          <w:rFonts w:ascii="Times New Roman" w:hAnsi="Times New Roman" w:cs="Times New Roman"/>
          <w:color w:val="000000" w:themeColor="text1"/>
        </w:rPr>
        <w:t>aiuto</w:t>
      </w:r>
      <w:proofErr w:type="spellEnd"/>
      <w:r w:rsidRPr="00A93CE7">
        <w:rPr>
          <w:rFonts w:ascii="Times New Roman" w:hAnsi="Times New Roman" w:cs="Times New Roman"/>
          <w:color w:val="000000" w:themeColor="text1"/>
        </w:rPr>
        <w:t xml:space="preserve"> di </w:t>
      </w:r>
      <w:proofErr w:type="spellStart"/>
      <w:r w:rsidRPr="00A93CE7">
        <w:rPr>
          <w:rFonts w:ascii="Times New Roman" w:hAnsi="Times New Roman" w:cs="Times New Roman"/>
          <w:color w:val="000000" w:themeColor="text1"/>
        </w:rPr>
        <w:t>stato</w:t>
      </w:r>
      <w:proofErr w:type="spellEnd"/>
      <w:r w:rsidRPr="00A93CE7">
        <w:rPr>
          <w:rFonts w:ascii="Times New Roman" w:hAnsi="Times New Roman" w:cs="Times New Roman"/>
          <w:color w:val="000000" w:themeColor="text1"/>
        </w:rPr>
        <w:t xml:space="preserve">»: la </w:t>
      </w:r>
      <w:proofErr w:type="spellStart"/>
      <w:r w:rsidRPr="00A93CE7">
        <w:rPr>
          <w:rFonts w:ascii="Times New Roman" w:hAnsi="Times New Roman" w:cs="Times New Roman"/>
          <w:color w:val="000000" w:themeColor="text1"/>
        </w:rPr>
        <w:t>sentenza</w:t>
      </w:r>
      <w:proofErr w:type="spellEnd"/>
      <w:r w:rsidRPr="00A93CE7">
        <w:rPr>
          <w:rFonts w:ascii="Times New Roman" w:hAnsi="Times New Roman" w:cs="Times New Roman"/>
          <w:color w:val="000000" w:themeColor="text1"/>
        </w:rPr>
        <w:t xml:space="preserve"> </w:t>
      </w:r>
      <w:proofErr w:type="spellStart"/>
      <w:r w:rsidRPr="00A93CE7">
        <w:rPr>
          <w:rFonts w:ascii="Times New Roman" w:hAnsi="Times New Roman" w:cs="Times New Roman"/>
          <w:color w:val="000000" w:themeColor="text1"/>
        </w:rPr>
        <w:t>Steenkolenmijnen</w:t>
      </w:r>
      <w:proofErr w:type="spellEnd"/>
      <w:r w:rsidRPr="00A93CE7">
        <w:rPr>
          <w:rFonts w:ascii="Times New Roman" w:hAnsi="Times New Roman" w:cs="Times New Roman"/>
          <w:color w:val="000000" w:themeColor="text1"/>
        </w:rPr>
        <w:t xml:space="preserve">” (2024) </w:t>
      </w:r>
      <w:proofErr w:type="spellStart"/>
      <w:r w:rsidRPr="00A93CE7">
        <w:rPr>
          <w:rFonts w:ascii="Times New Roman" w:hAnsi="Times New Roman" w:cs="Times New Roman"/>
          <w:color w:val="000000" w:themeColor="text1"/>
        </w:rPr>
        <w:t>Eurojus</w:t>
      </w:r>
      <w:proofErr w:type="spellEnd"/>
      <w:r w:rsidRPr="00A93CE7">
        <w:rPr>
          <w:rFonts w:ascii="Times New Roman" w:hAnsi="Times New Roman" w:cs="Times New Roman"/>
          <w:color w:val="000000" w:themeColor="text1"/>
        </w:rPr>
        <w:t>, 280-299.</w:t>
      </w:r>
    </w:p>
  </w:footnote>
  <w:footnote w:id="7">
    <w:p w14:paraId="72AFCE8D" w14:textId="4012873E" w:rsidR="00F53338" w:rsidRPr="00A93CE7" w:rsidRDefault="00F53338">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 xml:space="preserve">Claus-Dieter </w:t>
      </w:r>
      <w:proofErr w:type="spellStart"/>
      <w:r w:rsidRPr="00A93CE7">
        <w:rPr>
          <w:rFonts w:ascii="Times New Roman" w:hAnsi="Times New Roman" w:cs="Times New Roman"/>
          <w:color w:val="000000" w:themeColor="text1"/>
          <w:lang w:val="en-US"/>
        </w:rPr>
        <w:t>Ehlermann</w:t>
      </w:r>
      <w:proofErr w:type="spellEnd"/>
      <w:r w:rsidRPr="00A93CE7">
        <w:rPr>
          <w:rFonts w:ascii="Times New Roman" w:hAnsi="Times New Roman" w:cs="Times New Roman"/>
          <w:color w:val="000000" w:themeColor="text1"/>
          <w:lang w:val="en-US"/>
        </w:rPr>
        <w:t xml:space="preserve">, “State Aid Control in the European Union: Success or Failure?” (1994) Fordham International Law Journal, 1212-1229, at </w:t>
      </w:r>
      <w:r w:rsidR="00C46092" w:rsidRPr="00A93CE7">
        <w:rPr>
          <w:rFonts w:ascii="Times New Roman" w:hAnsi="Times New Roman" w:cs="Times New Roman"/>
          <w:color w:val="000000" w:themeColor="text1"/>
          <w:lang w:val="en-US"/>
        </w:rPr>
        <w:t>1214.</w:t>
      </w:r>
    </w:p>
  </w:footnote>
  <w:footnote w:id="8">
    <w:p w14:paraId="174B0462" w14:textId="75A32A3C" w:rsidR="008012D2" w:rsidRPr="00A93CE7" w:rsidRDefault="008012D2">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On this topic see Juan-Jorge Perez’s chapter.</w:t>
      </w:r>
    </w:p>
  </w:footnote>
  <w:footnote w:id="9">
    <w:p w14:paraId="570CB944" w14:textId="364F2100" w:rsidR="00737972" w:rsidRPr="0065618F" w:rsidRDefault="00737972" w:rsidP="00737972">
      <w:pPr>
        <w:rPr>
          <w:rFonts w:ascii="Times New Roman" w:hAnsi="Times New Roman" w:cs="Times New Roman"/>
          <w:b/>
          <w:bCs/>
          <w:color w:val="000000" w:themeColor="text1"/>
          <w:sz w:val="20"/>
          <w:szCs w:val="20"/>
        </w:rPr>
      </w:pPr>
      <w:r w:rsidRPr="00A93CE7">
        <w:rPr>
          <w:rStyle w:val="FootnoteReference"/>
          <w:rFonts w:ascii="Times New Roman" w:hAnsi="Times New Roman" w:cs="Times New Roman"/>
          <w:color w:val="000000" w:themeColor="text1"/>
          <w:sz w:val="20"/>
          <w:szCs w:val="20"/>
        </w:rPr>
        <w:footnoteRef/>
      </w:r>
      <w:r w:rsidRPr="00A93CE7">
        <w:rPr>
          <w:rFonts w:ascii="Times New Roman" w:hAnsi="Times New Roman" w:cs="Times New Roman"/>
          <w:color w:val="000000" w:themeColor="text1"/>
          <w:sz w:val="20"/>
          <w:szCs w:val="20"/>
        </w:rPr>
        <w:t xml:space="preserve"> </w:t>
      </w:r>
      <w:r w:rsidR="0065618F" w:rsidRPr="0065618F">
        <w:rPr>
          <w:rFonts w:ascii="Times New Roman" w:hAnsi="Times New Roman" w:cs="Times New Roman"/>
          <w:color w:val="000000" w:themeColor="text1"/>
          <w:sz w:val="20"/>
          <w:szCs w:val="20"/>
        </w:rPr>
        <w:t xml:space="preserve">See Aoife White and Aude van den Hove, “Finland says EU’s state subsidy bonanza has ‘gone too far’”, </w:t>
      </w:r>
      <w:r w:rsidR="0065618F" w:rsidRPr="0065618F">
        <w:rPr>
          <w:rFonts w:ascii="Times New Roman" w:hAnsi="Times New Roman" w:cs="Times New Roman"/>
          <w:i/>
          <w:iCs/>
          <w:color w:val="000000" w:themeColor="text1"/>
          <w:sz w:val="20"/>
          <w:szCs w:val="20"/>
        </w:rPr>
        <w:t>The Politico</w:t>
      </w:r>
      <w:r w:rsidR="0065618F" w:rsidRPr="0065618F">
        <w:rPr>
          <w:rFonts w:ascii="Times New Roman" w:hAnsi="Times New Roman" w:cs="Times New Roman"/>
          <w:color w:val="000000" w:themeColor="text1"/>
          <w:sz w:val="20"/>
          <w:szCs w:val="20"/>
        </w:rPr>
        <w:t>, 27</w:t>
      </w:r>
      <w:r w:rsidR="0065618F" w:rsidRPr="0065618F">
        <w:rPr>
          <w:rFonts w:ascii="Times New Roman" w:hAnsi="Times New Roman" w:cs="Times New Roman"/>
          <w:color w:val="000000" w:themeColor="text1"/>
          <w:sz w:val="20"/>
          <w:szCs w:val="20"/>
          <w:vertAlign w:val="superscript"/>
        </w:rPr>
        <w:t>th</w:t>
      </w:r>
      <w:r w:rsidR="0065618F" w:rsidRPr="0065618F">
        <w:rPr>
          <w:rFonts w:ascii="Times New Roman" w:hAnsi="Times New Roman" w:cs="Times New Roman"/>
          <w:color w:val="000000" w:themeColor="text1"/>
          <w:sz w:val="20"/>
          <w:szCs w:val="20"/>
        </w:rPr>
        <w:t xml:space="preserve"> September 2024, available at</w:t>
      </w:r>
      <w:r w:rsidR="0065618F">
        <w:rPr>
          <w:rFonts w:ascii="Times New Roman" w:hAnsi="Times New Roman" w:cs="Times New Roman"/>
          <w:color w:val="000000" w:themeColor="text1"/>
          <w:sz w:val="20"/>
          <w:szCs w:val="20"/>
        </w:rPr>
        <w:t xml:space="preserve"> </w:t>
      </w:r>
      <w:hyperlink r:id="rId1" w:history="1">
        <w:r w:rsidR="0065618F" w:rsidRPr="002F4149">
          <w:rPr>
            <w:rStyle w:val="Hyperlink"/>
            <w:rFonts w:ascii="Times New Roman" w:hAnsi="Times New Roman" w:cs="Times New Roman"/>
            <w:sz w:val="20"/>
            <w:szCs w:val="20"/>
          </w:rPr>
          <w:t>https://www.politico.eu/article/finland-says-eus-state-subsidy-bonanza-has-gone-too-far/</w:t>
        </w:r>
      </w:hyperlink>
    </w:p>
  </w:footnote>
  <w:footnote w:id="10">
    <w:p w14:paraId="5373CAA1" w14:textId="6BFEE6E4" w:rsidR="00BF23BB" w:rsidRPr="00A93CE7" w:rsidRDefault="00BF23BB">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 xml:space="preserve">William Bishop, “From trade to tutelage: State aid and public choice in the European Union” in Inge </w:t>
      </w:r>
      <w:proofErr w:type="spellStart"/>
      <w:r w:rsidRPr="00A93CE7">
        <w:rPr>
          <w:rFonts w:ascii="Times New Roman" w:hAnsi="Times New Roman" w:cs="Times New Roman"/>
          <w:color w:val="000000" w:themeColor="text1"/>
          <w:lang w:val="en-US"/>
        </w:rPr>
        <w:t>Govaere</w:t>
      </w:r>
      <w:proofErr w:type="spellEnd"/>
      <w:r w:rsidRPr="00A93CE7">
        <w:rPr>
          <w:rFonts w:ascii="Times New Roman" w:hAnsi="Times New Roman" w:cs="Times New Roman"/>
          <w:color w:val="000000" w:themeColor="text1"/>
          <w:lang w:val="en-US"/>
        </w:rPr>
        <w:t xml:space="preserve">, Reinhard Quick and Marco </w:t>
      </w:r>
      <w:proofErr w:type="spellStart"/>
      <w:r w:rsidRPr="00A93CE7">
        <w:rPr>
          <w:rFonts w:ascii="Times New Roman" w:hAnsi="Times New Roman" w:cs="Times New Roman"/>
          <w:color w:val="000000" w:themeColor="text1"/>
          <w:lang w:val="en-US"/>
        </w:rPr>
        <w:t>Bronckers</w:t>
      </w:r>
      <w:proofErr w:type="spellEnd"/>
      <w:r w:rsidRPr="00A93CE7">
        <w:rPr>
          <w:rFonts w:ascii="Times New Roman" w:hAnsi="Times New Roman" w:cs="Times New Roman"/>
          <w:color w:val="000000" w:themeColor="text1"/>
          <w:lang w:val="en-US"/>
        </w:rPr>
        <w:t xml:space="preserve"> (eds) </w:t>
      </w:r>
      <w:r w:rsidRPr="00A93CE7">
        <w:rPr>
          <w:rFonts w:ascii="Times New Roman" w:hAnsi="Times New Roman" w:cs="Times New Roman"/>
          <w:i/>
          <w:iCs/>
          <w:color w:val="000000" w:themeColor="text1"/>
          <w:lang w:val="en-US"/>
        </w:rPr>
        <w:t xml:space="preserve">Trade and Competition Law in the EU and Beyond </w:t>
      </w:r>
      <w:r w:rsidRPr="00A93CE7">
        <w:rPr>
          <w:rFonts w:ascii="Times New Roman" w:hAnsi="Times New Roman" w:cs="Times New Roman"/>
          <w:color w:val="000000" w:themeColor="text1"/>
          <w:lang w:val="en-US"/>
        </w:rPr>
        <w:t>(2011: Edward Elgar Publishing), 421-434.</w:t>
      </w:r>
    </w:p>
  </w:footnote>
  <w:footnote w:id="11">
    <w:p w14:paraId="6AA8286F" w14:textId="51AD1BCA" w:rsidR="00BF23BB" w:rsidRPr="00A93CE7" w:rsidRDefault="00BF23BB">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 xml:space="preserve">Ibid., at 426. This assessment has to be read in the light of the subsequent </w:t>
      </w:r>
      <w:r w:rsidRPr="00A93CE7">
        <w:rPr>
          <w:rFonts w:ascii="Times New Roman" w:hAnsi="Times New Roman" w:cs="Times New Roman"/>
          <w:i/>
          <w:iCs/>
          <w:color w:val="000000" w:themeColor="text1"/>
          <w:lang w:val="en-US"/>
        </w:rPr>
        <w:t>Hin</w:t>
      </w:r>
      <w:r w:rsidR="008012D2" w:rsidRPr="00A93CE7">
        <w:rPr>
          <w:rFonts w:ascii="Times New Roman" w:hAnsi="Times New Roman" w:cs="Times New Roman"/>
          <w:i/>
          <w:iCs/>
          <w:color w:val="000000" w:themeColor="text1"/>
          <w:lang w:val="en-US"/>
        </w:rPr>
        <w:t>c</w:t>
      </w:r>
      <w:r w:rsidRPr="00A93CE7">
        <w:rPr>
          <w:rFonts w:ascii="Times New Roman" w:hAnsi="Times New Roman" w:cs="Times New Roman"/>
          <w:i/>
          <w:iCs/>
          <w:color w:val="000000" w:themeColor="text1"/>
          <w:lang w:val="en-US"/>
        </w:rPr>
        <w:t xml:space="preserve">kley Point </w:t>
      </w:r>
      <w:r w:rsidRPr="00A93CE7">
        <w:rPr>
          <w:rFonts w:ascii="Times New Roman" w:hAnsi="Times New Roman" w:cs="Times New Roman"/>
          <w:color w:val="000000" w:themeColor="text1"/>
          <w:lang w:val="en-US"/>
        </w:rPr>
        <w:t>decision of the ECJ.</w:t>
      </w:r>
      <w:r w:rsidR="008012D2" w:rsidRPr="00A93CE7">
        <w:rPr>
          <w:rFonts w:ascii="Times New Roman" w:hAnsi="Times New Roman" w:cs="Times New Roman"/>
          <w:color w:val="000000" w:themeColor="text1"/>
          <w:lang w:val="en-US"/>
        </w:rPr>
        <w:t xml:space="preserve"> See </w:t>
      </w:r>
      <w:r w:rsidR="008012D2" w:rsidRPr="00A93CE7">
        <w:rPr>
          <w:rFonts w:ascii="Times New Roman" w:hAnsi="Times New Roman" w:cs="Times New Roman"/>
        </w:rPr>
        <w:t xml:space="preserve">Case C-594/18 P </w:t>
      </w:r>
      <w:r w:rsidR="008012D2" w:rsidRPr="00A93CE7">
        <w:rPr>
          <w:rFonts w:ascii="Times New Roman" w:hAnsi="Times New Roman" w:cs="Times New Roman"/>
          <w:i/>
          <w:iCs/>
        </w:rPr>
        <w:t xml:space="preserve">Austria </w:t>
      </w:r>
      <w:r w:rsidR="008012D2" w:rsidRPr="00A93CE7">
        <w:rPr>
          <w:rFonts w:ascii="Times New Roman" w:hAnsi="Times New Roman" w:cs="Times New Roman"/>
        </w:rPr>
        <w:t>v</w:t>
      </w:r>
      <w:r w:rsidR="008012D2" w:rsidRPr="00A93CE7">
        <w:rPr>
          <w:rFonts w:ascii="Times New Roman" w:hAnsi="Times New Roman" w:cs="Times New Roman"/>
          <w:i/>
          <w:iCs/>
        </w:rPr>
        <w:t>. Commission</w:t>
      </w:r>
      <w:r w:rsidR="008012D2" w:rsidRPr="00A93CE7">
        <w:rPr>
          <w:rFonts w:ascii="Times New Roman" w:hAnsi="Times New Roman" w:cs="Times New Roman"/>
        </w:rPr>
        <w:t xml:space="preserve"> EU:C:2020:742.</w:t>
      </w:r>
    </w:p>
  </w:footnote>
  <w:footnote w:id="12">
    <w:p w14:paraId="0B34D5C1" w14:textId="5CA30A65" w:rsidR="008012D2" w:rsidRPr="00A93CE7" w:rsidRDefault="008012D2">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000C7833" w:rsidRPr="00A93CE7">
        <w:rPr>
          <w:rFonts w:ascii="Times New Roman" w:hAnsi="Times New Roman" w:cs="Times New Roman"/>
          <w:lang w:val="en-US"/>
        </w:rPr>
        <w:t>S</w:t>
      </w:r>
      <w:r w:rsidRPr="00A93CE7">
        <w:rPr>
          <w:rFonts w:ascii="Times New Roman" w:hAnsi="Times New Roman" w:cs="Times New Roman"/>
          <w:lang w:val="en-US"/>
        </w:rPr>
        <w:t>ee Juan-Jorge Perez’s chapter.</w:t>
      </w:r>
    </w:p>
  </w:footnote>
  <w:footnote w:id="13">
    <w:p w14:paraId="03889D08" w14:textId="652F9926" w:rsidR="00E97738" w:rsidRPr="00A93CE7" w:rsidRDefault="00E97738">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Incidentally, this circumstances especially justifies the use of legal historical analysis to better comprehend the main tenets of EU State aid control.</w:t>
      </w:r>
    </w:p>
  </w:footnote>
  <w:footnote w:id="14">
    <w:p w14:paraId="4B60DED5" w14:textId="5D7796B1" w:rsidR="00261C69" w:rsidRPr="00A93CE7" w:rsidRDefault="00777810" w:rsidP="00261C69">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Case 730/79, </w:t>
      </w:r>
      <w:r w:rsidRPr="00A93CE7">
        <w:rPr>
          <w:rFonts w:ascii="Times New Roman" w:hAnsi="Times New Roman" w:cs="Times New Roman"/>
          <w:i/>
          <w:iCs/>
        </w:rPr>
        <w:t>Philip Morris Holland BV</w:t>
      </w:r>
      <w:r w:rsidRPr="00A93CE7">
        <w:rPr>
          <w:rFonts w:ascii="Times New Roman" w:hAnsi="Times New Roman" w:cs="Times New Roman"/>
        </w:rPr>
        <w:t xml:space="preserve"> v </w:t>
      </w:r>
      <w:r w:rsidRPr="00A93CE7">
        <w:rPr>
          <w:rFonts w:ascii="Times New Roman" w:hAnsi="Times New Roman" w:cs="Times New Roman"/>
          <w:i/>
          <w:iCs/>
        </w:rPr>
        <w:t>Commission of the European Communities</w:t>
      </w:r>
      <w:r w:rsidRPr="00A93CE7">
        <w:rPr>
          <w:rFonts w:ascii="Times New Roman" w:hAnsi="Times New Roman" w:cs="Times New Roman"/>
          <w:sz w:val="24"/>
          <w:szCs w:val="24"/>
        </w:rPr>
        <w:t xml:space="preserve"> </w:t>
      </w:r>
      <w:r w:rsidRPr="00A93CE7">
        <w:rPr>
          <w:rFonts w:ascii="Times New Roman" w:hAnsi="Times New Roman" w:cs="Times New Roman"/>
        </w:rPr>
        <w:t>ECLI:EU:C:1980:209.</w:t>
      </w:r>
      <w:r w:rsidR="00261C69" w:rsidRPr="00A93CE7">
        <w:rPr>
          <w:rFonts w:ascii="Times New Roman" w:hAnsi="Times New Roman" w:cs="Times New Roman"/>
        </w:rPr>
        <w:t xml:space="preserve"> See Karel </w:t>
      </w:r>
      <w:proofErr w:type="spellStart"/>
      <w:r w:rsidR="00261C69" w:rsidRPr="00A93CE7">
        <w:rPr>
          <w:rFonts w:ascii="Times New Roman" w:hAnsi="Times New Roman" w:cs="Times New Roman"/>
        </w:rPr>
        <w:t>Mortelmans</w:t>
      </w:r>
      <w:proofErr w:type="spellEnd"/>
      <w:r w:rsidR="00261C69" w:rsidRPr="00A93CE7">
        <w:rPr>
          <w:rFonts w:ascii="Times New Roman" w:hAnsi="Times New Roman" w:cs="Times New Roman"/>
        </w:rPr>
        <w:t xml:space="preserve">, “The Compensatory Justification Criterion in the Practice of the Commission in Decisions on State Aids” (1984) </w:t>
      </w:r>
      <w:proofErr w:type="spellStart"/>
      <w:r w:rsidR="00261C69" w:rsidRPr="00A93CE7">
        <w:rPr>
          <w:rFonts w:ascii="Times New Roman" w:hAnsi="Times New Roman" w:cs="Times New Roman"/>
        </w:rPr>
        <w:t>CMLRev</w:t>
      </w:r>
      <w:proofErr w:type="spellEnd"/>
      <w:r w:rsidR="00261C69" w:rsidRPr="00A93CE7">
        <w:rPr>
          <w:rFonts w:ascii="Times New Roman" w:hAnsi="Times New Roman" w:cs="Times New Roman"/>
        </w:rPr>
        <w:t xml:space="preserve"> 21.</w:t>
      </w:r>
    </w:p>
    <w:p w14:paraId="3EBDE50B" w14:textId="13A4559C" w:rsidR="00777810" w:rsidRPr="00A93CE7" w:rsidRDefault="00777810" w:rsidP="00261C69">
      <w:pPr>
        <w:pStyle w:val="FootnoteText"/>
        <w:rPr>
          <w:rFonts w:ascii="Times New Roman" w:hAnsi="Times New Roman" w:cs="Times New Roman"/>
          <w:lang w:val="en-US"/>
        </w:rPr>
      </w:pPr>
    </w:p>
  </w:footnote>
  <w:footnote w:id="15">
    <w:p w14:paraId="11910055" w14:textId="0A90354A" w:rsidR="00762523" w:rsidRPr="00A93CE7" w:rsidRDefault="00762523">
      <w:pPr>
        <w:pStyle w:val="FootnoteText"/>
        <w:rPr>
          <w:rFonts w:ascii="Times New Roman" w:hAnsi="Times New Roman" w:cs="Times New Roman"/>
          <w:color w:val="000000" w:themeColor="text1"/>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Alan O. Sykes, “The Questionable Case for Subsidies Regulation: A Comparative Perspective” (2010) Journal of Legal Analysis, 473–523.</w:t>
      </w:r>
    </w:p>
  </w:footnote>
  <w:footnote w:id="16">
    <w:p w14:paraId="0713D171" w14:textId="76613737" w:rsidR="00762523" w:rsidRPr="00A93CE7" w:rsidRDefault="00762523">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Ibid., 490.</w:t>
      </w:r>
    </w:p>
  </w:footnote>
  <w:footnote w:id="17">
    <w:p w14:paraId="307E20D2" w14:textId="77777777" w:rsidR="00261C69" w:rsidRPr="00A93CE7" w:rsidRDefault="00261C69" w:rsidP="00261C69">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 xml:space="preserve">See Thomas J. </w:t>
      </w:r>
      <w:proofErr w:type="spellStart"/>
      <w:r w:rsidRPr="00A93CE7">
        <w:rPr>
          <w:rFonts w:ascii="Times New Roman" w:hAnsi="Times New Roman" w:cs="Times New Roman"/>
          <w:lang w:val="en-US"/>
        </w:rPr>
        <w:t>Doleys</w:t>
      </w:r>
      <w:proofErr w:type="spellEnd"/>
      <w:r w:rsidRPr="00A93CE7">
        <w:rPr>
          <w:rFonts w:ascii="Times New Roman" w:hAnsi="Times New Roman" w:cs="Times New Roman"/>
          <w:lang w:val="en-US"/>
        </w:rPr>
        <w:t>, “Fifty Years of Molding Article 87: The European Commission and the</w:t>
      </w:r>
    </w:p>
    <w:p w14:paraId="11543A70" w14:textId="35A0C9DE" w:rsidR="00261C69" w:rsidRPr="00A93CE7" w:rsidRDefault="00261C69" w:rsidP="00261C69">
      <w:pPr>
        <w:pStyle w:val="FootnoteText"/>
        <w:rPr>
          <w:rFonts w:ascii="Times New Roman" w:hAnsi="Times New Roman" w:cs="Times New Roman"/>
          <w:lang w:val="en-US"/>
        </w:rPr>
      </w:pPr>
      <w:r w:rsidRPr="00A93CE7">
        <w:rPr>
          <w:rFonts w:ascii="Times New Roman" w:hAnsi="Times New Roman" w:cs="Times New Roman"/>
          <w:lang w:val="en-US"/>
        </w:rPr>
        <w:t>Development of EU State Aid Policy (1958-2008)”</w:t>
      </w:r>
      <w:r w:rsidRPr="00A93CE7">
        <w:rPr>
          <w:rFonts w:ascii="Times New Roman" w:hAnsi="Times New Roman" w:cs="Times New Roman"/>
        </w:rPr>
        <w:t xml:space="preserve"> </w:t>
      </w:r>
      <w:r w:rsidRPr="00A93CE7">
        <w:rPr>
          <w:rFonts w:ascii="Times New Roman" w:hAnsi="Times New Roman" w:cs="Times New Roman"/>
          <w:lang w:val="en-US"/>
        </w:rPr>
        <w:t>Paper prepared for presentation at the 11th Biennial International Conference of the European Union Studies Association, to be held April 23-25, 2009 in Marina Del Ray, California.</w:t>
      </w:r>
    </w:p>
  </w:footnote>
  <w:footnote w:id="18">
    <w:p w14:paraId="363F2D42" w14:textId="0E975BB2" w:rsidR="00751EA8" w:rsidRPr="00A93CE7" w:rsidRDefault="00751EA8">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 xml:space="preserve">See Claus-Dieter </w:t>
      </w:r>
      <w:proofErr w:type="spellStart"/>
      <w:r w:rsidRPr="00A93CE7">
        <w:rPr>
          <w:rFonts w:ascii="Times New Roman" w:hAnsi="Times New Roman" w:cs="Times New Roman"/>
          <w:color w:val="000000" w:themeColor="text1"/>
          <w:lang w:val="en-US"/>
        </w:rPr>
        <w:t>Ehlermann</w:t>
      </w:r>
      <w:proofErr w:type="spellEnd"/>
      <w:r w:rsidRPr="00A93CE7">
        <w:rPr>
          <w:rFonts w:ascii="Times New Roman" w:hAnsi="Times New Roman" w:cs="Times New Roman"/>
          <w:color w:val="000000" w:themeColor="text1"/>
          <w:lang w:val="en-US"/>
        </w:rPr>
        <w:t>, “State Aid Control in the European Union: Success or Failure?” (1994) Fordham International Law Journal, 1212-1229, at 121</w:t>
      </w:r>
      <w:r w:rsidR="0055404A" w:rsidRPr="00A93CE7">
        <w:rPr>
          <w:rFonts w:ascii="Times New Roman" w:hAnsi="Times New Roman" w:cs="Times New Roman"/>
          <w:color w:val="000000" w:themeColor="text1"/>
          <w:lang w:val="en-US"/>
        </w:rPr>
        <w:t>6</w:t>
      </w:r>
      <w:r w:rsidRPr="00A93CE7">
        <w:rPr>
          <w:rFonts w:ascii="Times New Roman" w:hAnsi="Times New Roman" w:cs="Times New Roman"/>
          <w:color w:val="000000" w:themeColor="text1"/>
          <w:lang w:val="en-US"/>
        </w:rPr>
        <w:t>.</w:t>
      </w:r>
    </w:p>
  </w:footnote>
  <w:footnote w:id="19">
    <w:p w14:paraId="6F7119A1" w14:textId="4FB5344C" w:rsidR="0055404A" w:rsidRPr="00A93CE7" w:rsidRDefault="0055404A">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To be sure the initial version of the WTO Agreement on Subsidies and Countervailing Measures (“ASCM”) included a category of non-actionable subsidies which was largely modelled on EU State aid law. Going beyond the WTO, it is interesting that the only trade agreements that include meaningful State aid or subsidy disciplines are those negotiated by the EU.</w:t>
      </w:r>
    </w:p>
  </w:footnote>
  <w:footnote w:id="20">
    <w:p w14:paraId="1C51E589" w14:textId="24CD19C7" w:rsidR="00D67691" w:rsidRPr="00A93CE7" w:rsidRDefault="00D67691">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 xml:space="preserve">A recent reminder to this point came in Case C-59/23 P, </w:t>
      </w:r>
      <w:r w:rsidRPr="00A93CE7">
        <w:rPr>
          <w:rFonts w:ascii="Times New Roman" w:hAnsi="Times New Roman" w:cs="Times New Roman"/>
          <w:i/>
          <w:iCs/>
          <w:lang w:val="en-US"/>
        </w:rPr>
        <w:t>Austria v Commission</w:t>
      </w:r>
      <w:r w:rsidRPr="00A93CE7">
        <w:rPr>
          <w:rFonts w:ascii="Times New Roman" w:hAnsi="Times New Roman" w:cs="Times New Roman"/>
          <w:lang w:val="en-US"/>
        </w:rPr>
        <w:t xml:space="preserve"> (“</w:t>
      </w:r>
      <w:proofErr w:type="spellStart"/>
      <w:r w:rsidRPr="00A93CE7">
        <w:rPr>
          <w:rFonts w:ascii="Times New Roman" w:hAnsi="Times New Roman" w:cs="Times New Roman"/>
          <w:lang w:val="en-US"/>
        </w:rPr>
        <w:t>Paks</w:t>
      </w:r>
      <w:proofErr w:type="spellEnd"/>
      <w:r w:rsidRPr="00A93CE7">
        <w:rPr>
          <w:rFonts w:ascii="Times New Roman" w:hAnsi="Times New Roman" w:cs="Times New Roman"/>
          <w:lang w:val="en-US"/>
        </w:rPr>
        <w:t xml:space="preserve"> II nuclear power station”) </w:t>
      </w:r>
      <w:r w:rsidRPr="00A93CE7">
        <w:rPr>
          <w:rFonts w:ascii="Times New Roman" w:hAnsi="Times New Roman" w:cs="Times New Roman"/>
        </w:rPr>
        <w:t>ECLI:EU:C:2025:686.</w:t>
      </w:r>
    </w:p>
  </w:footnote>
  <w:footnote w:id="21">
    <w:p w14:paraId="6FF12D3D" w14:textId="09DEF238" w:rsidR="00CC5C76" w:rsidRPr="00A93CE7" w:rsidRDefault="00CC5C76">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State Aid Scoreboard 2025, published on 16 January 2026.</w:t>
      </w:r>
    </w:p>
  </w:footnote>
  <w:footnote w:id="22">
    <w:p w14:paraId="3A5E96FC" w14:textId="3856DF7B" w:rsidR="00CC5C76" w:rsidRPr="00A93CE7" w:rsidRDefault="00CC5C76">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Ibid, page 28.</w:t>
      </w:r>
    </w:p>
  </w:footnote>
  <w:footnote w:id="23">
    <w:p w14:paraId="0846B80B" w14:textId="1DAE6032" w:rsidR="00CA13A6" w:rsidRPr="00A93CE7" w:rsidRDefault="00CA13A6" w:rsidP="00CD0477">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00CD0477" w:rsidRPr="00A93CE7">
        <w:rPr>
          <w:rFonts w:ascii="Times New Roman" w:hAnsi="Times New Roman" w:cs="Times New Roman"/>
          <w:color w:val="000000" w:themeColor="text1"/>
          <w:lang w:val="en-US"/>
        </w:rPr>
        <w:t xml:space="preserve">Michael </w:t>
      </w:r>
      <w:proofErr w:type="spellStart"/>
      <w:r w:rsidR="00CD0477" w:rsidRPr="00A93CE7">
        <w:rPr>
          <w:rFonts w:ascii="Times New Roman" w:hAnsi="Times New Roman" w:cs="Times New Roman"/>
          <w:color w:val="000000" w:themeColor="text1"/>
          <w:lang w:val="en-US"/>
        </w:rPr>
        <w:t>Blauberger</w:t>
      </w:r>
      <w:proofErr w:type="spellEnd"/>
      <w:r w:rsidR="00CD0477" w:rsidRPr="00A93CE7">
        <w:rPr>
          <w:rFonts w:ascii="Times New Roman" w:hAnsi="Times New Roman" w:cs="Times New Roman"/>
          <w:color w:val="000000" w:themeColor="text1"/>
          <w:lang w:val="en-US"/>
        </w:rPr>
        <w:t xml:space="preserve">, “From negative to positive integration? European state aid control through soft and hard law”, </w:t>
      </w:r>
      <w:proofErr w:type="spellStart"/>
      <w:r w:rsidR="00CD0477" w:rsidRPr="00A93CE7">
        <w:rPr>
          <w:rFonts w:ascii="Times New Roman" w:hAnsi="Times New Roman" w:cs="Times New Roman"/>
          <w:color w:val="000000" w:themeColor="text1"/>
          <w:lang w:val="en-US"/>
        </w:rPr>
        <w:t>MPIfG</w:t>
      </w:r>
      <w:proofErr w:type="spellEnd"/>
      <w:r w:rsidR="00CD0477" w:rsidRPr="00A93CE7">
        <w:rPr>
          <w:rFonts w:ascii="Times New Roman" w:hAnsi="Times New Roman" w:cs="Times New Roman"/>
          <w:color w:val="000000" w:themeColor="text1"/>
          <w:lang w:val="en-US"/>
        </w:rPr>
        <w:t xml:space="preserve"> Discussion Paper, No. 08/4, Max Planck Institute for the Study of Societies, Cologne.</w:t>
      </w:r>
    </w:p>
  </w:footnote>
  <w:footnote w:id="24">
    <w:p w14:paraId="35A347DD" w14:textId="6FC8BBB3" w:rsidR="001A7117" w:rsidRPr="00A93CE7" w:rsidRDefault="001A7117">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 xml:space="preserve">See Juan-Jorge </w:t>
      </w:r>
      <w:proofErr w:type="spellStart"/>
      <w:r w:rsidRPr="00A93CE7">
        <w:rPr>
          <w:rFonts w:ascii="Times New Roman" w:hAnsi="Times New Roman" w:cs="Times New Roman"/>
          <w:lang w:val="en-US"/>
        </w:rPr>
        <w:t>Piernaz</w:t>
      </w:r>
      <w:proofErr w:type="spellEnd"/>
      <w:r w:rsidRPr="00A93CE7">
        <w:rPr>
          <w:rFonts w:ascii="Times New Roman" w:hAnsi="Times New Roman" w:cs="Times New Roman"/>
          <w:lang w:val="en-US"/>
        </w:rPr>
        <w:t>-Lopez’s chapter.</w:t>
      </w:r>
    </w:p>
  </w:footnote>
  <w:footnote w:id="25">
    <w:p w14:paraId="5B009070" w14:textId="7D0A3602" w:rsidR="00B231EF" w:rsidRPr="00A93CE7" w:rsidRDefault="00B231EF">
      <w:pPr>
        <w:pStyle w:val="FootnoteText"/>
        <w:rPr>
          <w:rFonts w:ascii="Times New Roman" w:hAnsi="Times New Roman" w:cs="Times New Roman"/>
          <w:color w:val="000000" w:themeColor="text1"/>
          <w:lang w:val="en-US"/>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w:t>
      </w:r>
      <w:r w:rsidRPr="00A93CE7">
        <w:rPr>
          <w:rFonts w:ascii="Times New Roman" w:hAnsi="Times New Roman" w:cs="Times New Roman"/>
          <w:color w:val="000000" w:themeColor="text1"/>
          <w:lang w:val="en-US"/>
        </w:rPr>
        <w:t>Ibid., page 72.</w:t>
      </w:r>
    </w:p>
  </w:footnote>
  <w:footnote w:id="26">
    <w:p w14:paraId="33FA45DE" w14:textId="4E35DF96" w:rsidR="002722B9" w:rsidRPr="00A93CE7" w:rsidRDefault="002722B9" w:rsidP="002722B9">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See, e.g., Andrea Biondi, “Governing the Interregnum: State Aid Rules and the Covid-19</w:t>
      </w:r>
    </w:p>
    <w:p w14:paraId="132A5894" w14:textId="33CD88EE" w:rsidR="002722B9" w:rsidRPr="00A93CE7" w:rsidRDefault="002722B9" w:rsidP="002722B9">
      <w:pPr>
        <w:pStyle w:val="FootnoteText"/>
        <w:rPr>
          <w:rFonts w:ascii="Times New Roman" w:hAnsi="Times New Roman" w:cs="Times New Roman"/>
        </w:rPr>
      </w:pPr>
      <w:r w:rsidRPr="00A93CE7">
        <w:rPr>
          <w:rFonts w:ascii="Times New Roman" w:hAnsi="Times New Roman" w:cs="Times New Roman"/>
          <w:lang w:val="en-US"/>
        </w:rPr>
        <w:t xml:space="preserve">Crisis” (2020) Market &amp; Competition Law Review 4 (2): 17-40; Irene </w:t>
      </w:r>
      <w:proofErr w:type="spellStart"/>
      <w:r w:rsidRPr="00A93CE7">
        <w:rPr>
          <w:rFonts w:ascii="Times New Roman" w:hAnsi="Times New Roman" w:cs="Times New Roman"/>
          <w:lang w:val="en-US"/>
        </w:rPr>
        <w:t>Agnolucci</w:t>
      </w:r>
      <w:proofErr w:type="spellEnd"/>
      <w:r w:rsidRPr="00A93CE7">
        <w:rPr>
          <w:rFonts w:ascii="Times New Roman" w:hAnsi="Times New Roman" w:cs="Times New Roman"/>
          <w:lang w:val="en-US"/>
        </w:rPr>
        <w:t xml:space="preserve">, “Will Covid-19 Make or Break EU State Aid Control? An Analysis of Commission Decisions </w:t>
      </w:r>
      <w:proofErr w:type="spellStart"/>
      <w:r w:rsidRPr="00A93CE7">
        <w:rPr>
          <w:rFonts w:ascii="Times New Roman" w:hAnsi="Times New Roman" w:cs="Times New Roman"/>
          <w:lang w:val="en-US"/>
        </w:rPr>
        <w:t>Authorising</w:t>
      </w:r>
      <w:proofErr w:type="spellEnd"/>
      <w:r w:rsidRPr="00A93CE7">
        <w:rPr>
          <w:rFonts w:ascii="Times New Roman" w:hAnsi="Times New Roman" w:cs="Times New Roman"/>
          <w:lang w:val="en-US"/>
        </w:rPr>
        <w:t xml:space="preserve"> Pandemic State Aid Measures” (2022) Journal of European Competition Law &amp; Practice 13 (1): 3-16</w:t>
      </w:r>
      <w:r w:rsidR="00CD0477" w:rsidRPr="00A93CE7">
        <w:rPr>
          <w:rFonts w:ascii="Times New Roman" w:hAnsi="Times New Roman" w:cs="Times New Roman"/>
          <w:lang w:val="en-US"/>
        </w:rPr>
        <w:t xml:space="preserve">; Andrea Biondi and </w:t>
      </w:r>
      <w:proofErr w:type="spellStart"/>
      <w:r w:rsidR="00CD0477" w:rsidRPr="00A93CE7">
        <w:rPr>
          <w:rFonts w:ascii="Times New Roman" w:hAnsi="Times New Roman" w:cs="Times New Roman"/>
          <w:lang w:val="en-US"/>
        </w:rPr>
        <w:t>Oana</w:t>
      </w:r>
      <w:proofErr w:type="spellEnd"/>
      <w:r w:rsidR="00CD0477" w:rsidRPr="00A93CE7">
        <w:rPr>
          <w:rFonts w:ascii="Times New Roman" w:hAnsi="Times New Roman" w:cs="Times New Roman"/>
          <w:lang w:val="en-US"/>
        </w:rPr>
        <w:t xml:space="preserve"> Stefan, “Regulating EU Permanent Crises: the Case of State Aid” in Catherine Barnard, Adam </w:t>
      </w:r>
      <w:proofErr w:type="spellStart"/>
      <w:r w:rsidR="00CD0477" w:rsidRPr="00A93CE7">
        <w:rPr>
          <w:rFonts w:ascii="Times New Roman" w:hAnsi="Times New Roman" w:cs="Times New Roman"/>
          <w:lang w:val="en-US"/>
        </w:rPr>
        <w:t>Lazowski</w:t>
      </w:r>
      <w:proofErr w:type="spellEnd"/>
      <w:r w:rsidR="00CD0477" w:rsidRPr="00A93CE7">
        <w:rPr>
          <w:rFonts w:ascii="Times New Roman" w:hAnsi="Times New Roman" w:cs="Times New Roman"/>
          <w:lang w:val="en-US"/>
        </w:rPr>
        <w:t xml:space="preserve"> and Daniel Sarmiento (eds) </w:t>
      </w:r>
      <w:r w:rsidR="00CD0477" w:rsidRPr="00A93CE7">
        <w:rPr>
          <w:rFonts w:ascii="Times New Roman" w:hAnsi="Times New Roman" w:cs="Times New Roman"/>
          <w:i/>
          <w:iCs/>
          <w:lang w:val="en-US"/>
        </w:rPr>
        <w:t xml:space="preserve">In Pursuit of Legal Harmony in a Changing World: Essays in </w:t>
      </w:r>
      <w:proofErr w:type="spellStart"/>
      <w:r w:rsidR="00CD0477" w:rsidRPr="00A93CE7">
        <w:rPr>
          <w:rFonts w:ascii="Times New Roman" w:hAnsi="Times New Roman" w:cs="Times New Roman"/>
          <w:i/>
          <w:iCs/>
          <w:lang w:val="en-US"/>
        </w:rPr>
        <w:t>Honour</w:t>
      </w:r>
      <w:proofErr w:type="spellEnd"/>
      <w:r w:rsidR="00CD0477" w:rsidRPr="00A93CE7">
        <w:rPr>
          <w:rFonts w:ascii="Times New Roman" w:hAnsi="Times New Roman" w:cs="Times New Roman"/>
          <w:i/>
          <w:iCs/>
          <w:lang w:val="en-US"/>
        </w:rPr>
        <w:t xml:space="preserve"> of Eleanor </w:t>
      </w:r>
      <w:proofErr w:type="spellStart"/>
      <w:r w:rsidR="00CD0477" w:rsidRPr="00A93CE7">
        <w:rPr>
          <w:rFonts w:ascii="Times New Roman" w:hAnsi="Times New Roman" w:cs="Times New Roman"/>
          <w:i/>
          <w:iCs/>
          <w:lang w:val="en-US"/>
        </w:rPr>
        <w:t>Sharpston</w:t>
      </w:r>
      <w:proofErr w:type="spellEnd"/>
      <w:r w:rsidR="00CD0477" w:rsidRPr="00A93CE7">
        <w:rPr>
          <w:rFonts w:ascii="Times New Roman" w:hAnsi="Times New Roman" w:cs="Times New Roman"/>
          <w:lang w:val="en-US"/>
        </w:rPr>
        <w:t xml:space="preserve"> (2024: Hart Publishing)</w:t>
      </w:r>
      <w:r w:rsidR="00F4630B" w:rsidRPr="00A93CE7">
        <w:rPr>
          <w:rFonts w:ascii="Times New Roman" w:hAnsi="Times New Roman" w:cs="Times New Roman"/>
          <w:lang w:val="en-US"/>
        </w:rPr>
        <w:t xml:space="preserve">. </w:t>
      </w:r>
      <w:r w:rsidRPr="00C94F18">
        <w:rPr>
          <w:rFonts w:ascii="Times New Roman" w:hAnsi="Times New Roman" w:cs="Times New Roman"/>
          <w:highlight w:val="yellow"/>
          <w:lang w:val="en-US"/>
        </w:rPr>
        <w:t xml:space="preserve">See also Andrew Hodge, Roberto Piazza, Fuad Hasanov, </w:t>
      </w:r>
      <w:proofErr w:type="spellStart"/>
      <w:r w:rsidRPr="00C94F18">
        <w:rPr>
          <w:rFonts w:ascii="Times New Roman" w:hAnsi="Times New Roman" w:cs="Times New Roman"/>
          <w:highlight w:val="yellow"/>
          <w:lang w:val="en-US"/>
        </w:rPr>
        <w:t>Xun</w:t>
      </w:r>
      <w:proofErr w:type="spellEnd"/>
      <w:r w:rsidRPr="00C94F18">
        <w:rPr>
          <w:rFonts w:ascii="Times New Roman" w:hAnsi="Times New Roman" w:cs="Times New Roman"/>
          <w:highlight w:val="yellow"/>
          <w:lang w:val="en-US"/>
        </w:rPr>
        <w:t xml:space="preserve"> Li, Maryam </w:t>
      </w:r>
      <w:proofErr w:type="spellStart"/>
      <w:r w:rsidRPr="00C94F18">
        <w:rPr>
          <w:rFonts w:ascii="Times New Roman" w:hAnsi="Times New Roman" w:cs="Times New Roman"/>
          <w:highlight w:val="yellow"/>
          <w:lang w:val="en-US"/>
        </w:rPr>
        <w:t>Vaziri</w:t>
      </w:r>
      <w:proofErr w:type="spellEnd"/>
      <w:r w:rsidRPr="00C94F18">
        <w:rPr>
          <w:rFonts w:ascii="Times New Roman" w:hAnsi="Times New Roman" w:cs="Times New Roman"/>
          <w:highlight w:val="yellow"/>
          <w:lang w:val="en-US"/>
        </w:rPr>
        <w:t xml:space="preserve">, Atticus Weller, and Yu Ching Wong, </w:t>
      </w:r>
      <w:r w:rsidRPr="00C94F18">
        <w:rPr>
          <w:rFonts w:ascii="Times New Roman" w:hAnsi="Times New Roman" w:cs="Times New Roman"/>
          <w:i/>
          <w:iCs/>
          <w:highlight w:val="yellow"/>
        </w:rPr>
        <w:t>Industrial Policy in Europe: A Single Market Perspective</w:t>
      </w:r>
      <w:r w:rsidRPr="00C94F18">
        <w:rPr>
          <w:rFonts w:ascii="Times New Roman" w:hAnsi="Times New Roman" w:cs="Times New Roman"/>
          <w:highlight w:val="yellow"/>
        </w:rPr>
        <w:t>, WP/24/249, IMF Working Paper, December 2024.</w:t>
      </w:r>
    </w:p>
  </w:footnote>
  <w:footnote w:id="27">
    <w:p w14:paraId="10DCB05C" w14:textId="357E86A0" w:rsidR="00527B91" w:rsidRPr="00A93CE7" w:rsidRDefault="00527B91">
      <w:pPr>
        <w:pStyle w:val="FootnoteText"/>
        <w:rPr>
          <w:rFonts w:ascii="Times New Roman" w:hAnsi="Times New Roman" w:cs="Times New Roman"/>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proofErr w:type="spellStart"/>
      <w:r w:rsidRPr="00A93CE7">
        <w:rPr>
          <w:rFonts w:ascii="Times New Roman" w:hAnsi="Times New Roman" w:cs="Times New Roman"/>
          <w:lang w:val="en-US"/>
        </w:rPr>
        <w:t>Phedon</w:t>
      </w:r>
      <w:proofErr w:type="spellEnd"/>
      <w:r w:rsidRPr="00A93CE7">
        <w:rPr>
          <w:rFonts w:ascii="Times New Roman" w:hAnsi="Times New Roman" w:cs="Times New Roman"/>
          <w:lang w:val="en-US"/>
        </w:rPr>
        <w:t xml:space="preserve"> Nicolaides, “</w:t>
      </w:r>
      <w:r w:rsidRPr="00A93CE7">
        <w:rPr>
          <w:rFonts w:ascii="Times New Roman" w:hAnsi="Times New Roman" w:cs="Times New Roman"/>
        </w:rPr>
        <w:t>The First State Aid Measure Approved under CISAF: Lots of Presumptions”, State aid uncovered, 10</w:t>
      </w:r>
      <w:r w:rsidRPr="00A93CE7">
        <w:rPr>
          <w:rFonts w:ascii="Times New Roman" w:hAnsi="Times New Roman" w:cs="Times New Roman"/>
          <w:vertAlign w:val="superscript"/>
        </w:rPr>
        <w:t>th</w:t>
      </w:r>
      <w:r w:rsidRPr="00A93CE7">
        <w:rPr>
          <w:rFonts w:ascii="Times New Roman" w:hAnsi="Times New Roman" w:cs="Times New Roman"/>
        </w:rPr>
        <w:t xml:space="preserve"> November 2025, at </w:t>
      </w:r>
      <w:hyperlink r:id="rId2" w:history="1">
        <w:r w:rsidRPr="00A93CE7">
          <w:rPr>
            <w:rStyle w:val="Hyperlink"/>
            <w:rFonts w:ascii="Times New Roman" w:hAnsi="Times New Roman" w:cs="Times New Roman"/>
          </w:rPr>
          <w:t>https://www.lexxion.eu/stateaidpost/the-first-state-aid-measure-approved-under-cisaf-lots-of-presumptions/</w:t>
        </w:r>
      </w:hyperlink>
      <w:r w:rsidRPr="00A93CE7">
        <w:rPr>
          <w:rFonts w:ascii="Times New Roman" w:hAnsi="Times New Roman" w:cs="Times New Roman"/>
        </w:rPr>
        <w:t xml:space="preserve"> </w:t>
      </w:r>
    </w:p>
  </w:footnote>
  <w:footnote w:id="28">
    <w:p w14:paraId="19AF8872" w14:textId="047DFB8D" w:rsidR="008012F9" w:rsidRPr="00A93CE7" w:rsidRDefault="008012F9">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On the evolution of EU State aid law and policy see</w:t>
      </w:r>
      <w:r w:rsidR="00381F6A" w:rsidRPr="00A93CE7">
        <w:rPr>
          <w:rFonts w:ascii="Times New Roman" w:hAnsi="Times New Roman" w:cs="Times New Roman"/>
          <w:lang w:val="en-US"/>
        </w:rPr>
        <w:t xml:space="preserve"> Juan-Jorge </w:t>
      </w:r>
      <w:proofErr w:type="spellStart"/>
      <w:r w:rsidR="00381F6A" w:rsidRPr="00A93CE7">
        <w:rPr>
          <w:rFonts w:ascii="Times New Roman" w:hAnsi="Times New Roman" w:cs="Times New Roman"/>
          <w:lang w:val="en-US"/>
        </w:rPr>
        <w:t>Piernaz</w:t>
      </w:r>
      <w:proofErr w:type="spellEnd"/>
      <w:r w:rsidR="00381F6A" w:rsidRPr="00A93CE7">
        <w:rPr>
          <w:rFonts w:ascii="Times New Roman" w:hAnsi="Times New Roman" w:cs="Times New Roman"/>
          <w:lang w:val="en-US"/>
        </w:rPr>
        <w:t>-Lopez,</w:t>
      </w:r>
      <w:r w:rsidRPr="00A93CE7">
        <w:rPr>
          <w:rFonts w:ascii="Times New Roman" w:hAnsi="Times New Roman" w:cs="Times New Roman"/>
          <w:lang w:val="en-US"/>
        </w:rPr>
        <w:t xml:space="preserve"> </w:t>
      </w:r>
      <w:r w:rsidR="00381F6A" w:rsidRPr="00A93CE7">
        <w:rPr>
          <w:rFonts w:ascii="Times New Roman" w:hAnsi="Times New Roman" w:cs="Times New Roman"/>
          <w:i/>
          <w:iCs/>
        </w:rPr>
        <w:t>The Concept of State Aid Under EU Law</w:t>
      </w:r>
      <w:r w:rsidR="00381F6A" w:rsidRPr="00A93CE7">
        <w:rPr>
          <w:rFonts w:ascii="Times New Roman" w:hAnsi="Times New Roman" w:cs="Times New Roman"/>
        </w:rPr>
        <w:t xml:space="preserve">: From internal market to competition and beyond (2015: Oxford University Press); Andrea Biondi and Elisabetta </w:t>
      </w:r>
      <w:proofErr w:type="spellStart"/>
      <w:r w:rsidR="00381F6A" w:rsidRPr="00A93CE7">
        <w:rPr>
          <w:rFonts w:ascii="Times New Roman" w:hAnsi="Times New Roman" w:cs="Times New Roman"/>
        </w:rPr>
        <w:t>Righini</w:t>
      </w:r>
      <w:proofErr w:type="spellEnd"/>
      <w:r w:rsidR="00381F6A" w:rsidRPr="00A93CE7">
        <w:rPr>
          <w:rFonts w:ascii="Times New Roman" w:hAnsi="Times New Roman" w:cs="Times New Roman"/>
        </w:rPr>
        <w:t xml:space="preserve">, “An Evolutionary Theory of EU State Aid Control” in Anthony </w:t>
      </w:r>
      <w:proofErr w:type="spellStart"/>
      <w:r w:rsidR="00381F6A" w:rsidRPr="00A93CE7">
        <w:rPr>
          <w:rFonts w:ascii="Times New Roman" w:hAnsi="Times New Roman" w:cs="Times New Roman"/>
        </w:rPr>
        <w:t>Arnull</w:t>
      </w:r>
      <w:proofErr w:type="spellEnd"/>
      <w:r w:rsidR="00381F6A" w:rsidRPr="00A93CE7">
        <w:rPr>
          <w:rFonts w:ascii="Times New Roman" w:hAnsi="Times New Roman" w:cs="Times New Roman"/>
        </w:rPr>
        <w:t xml:space="preserve"> and Damian Chalmers (eds) </w:t>
      </w:r>
      <w:r w:rsidR="00381F6A" w:rsidRPr="00A93CE7">
        <w:rPr>
          <w:rFonts w:ascii="Times New Roman" w:hAnsi="Times New Roman" w:cs="Times New Roman"/>
          <w:i/>
          <w:iCs/>
        </w:rPr>
        <w:t xml:space="preserve">The Oxford Handbook of European Union Law </w:t>
      </w:r>
      <w:r w:rsidR="00381F6A" w:rsidRPr="00A93CE7">
        <w:rPr>
          <w:rFonts w:ascii="Times New Roman" w:hAnsi="Times New Roman" w:cs="Times New Roman"/>
        </w:rPr>
        <w:t>(2014: Oxford University Press).</w:t>
      </w:r>
    </w:p>
  </w:footnote>
  <w:footnote w:id="29">
    <w:p w14:paraId="613A40ED" w14:textId="19289AB0" w:rsidR="00381F6A" w:rsidRPr="00A93CE7" w:rsidRDefault="00381F6A" w:rsidP="00381F6A">
      <w:pPr>
        <w:pStyle w:val="FootnoteText"/>
        <w:rPr>
          <w:rFonts w:ascii="Times New Roman" w:hAnsi="Times New Roman" w:cs="Times New Roman"/>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 xml:space="preserve">Jose-Luis </w:t>
      </w:r>
      <w:proofErr w:type="spellStart"/>
      <w:r w:rsidRPr="00A93CE7">
        <w:rPr>
          <w:rFonts w:ascii="Times New Roman" w:hAnsi="Times New Roman" w:cs="Times New Roman"/>
          <w:lang w:val="en-US"/>
        </w:rPr>
        <w:t>Buendia</w:t>
      </w:r>
      <w:proofErr w:type="spellEnd"/>
      <w:r w:rsidRPr="00A93CE7">
        <w:rPr>
          <w:rFonts w:ascii="Times New Roman" w:hAnsi="Times New Roman" w:cs="Times New Roman"/>
          <w:lang w:val="en-US"/>
        </w:rPr>
        <w:t>-Sierra and Ben Smulders, “</w:t>
      </w:r>
      <w:r w:rsidRPr="00A93CE7">
        <w:rPr>
          <w:rFonts w:ascii="Times New Roman" w:hAnsi="Times New Roman" w:cs="Times New Roman"/>
        </w:rPr>
        <w:t>The Limited Role of the “Refined Economic Approach” in Achieving the Objectives of State Aid Control: Time for Some Realism” in Vittorio Di Bucci,</w:t>
      </w:r>
      <w:r w:rsidRPr="00A93CE7">
        <w:rPr>
          <w:rFonts w:ascii="Times New Roman" w:hAnsi="Times New Roman" w:cs="Times New Roman"/>
          <w:lang w:val="en-US"/>
        </w:rPr>
        <w:t xml:space="preserve"> Jose-Luis </w:t>
      </w:r>
      <w:proofErr w:type="spellStart"/>
      <w:r w:rsidRPr="00A93CE7">
        <w:rPr>
          <w:rFonts w:ascii="Times New Roman" w:hAnsi="Times New Roman" w:cs="Times New Roman"/>
          <w:lang w:val="en-US"/>
        </w:rPr>
        <w:t>Buendia</w:t>
      </w:r>
      <w:proofErr w:type="spellEnd"/>
      <w:r w:rsidRPr="00A93CE7">
        <w:rPr>
          <w:rFonts w:ascii="Times New Roman" w:hAnsi="Times New Roman" w:cs="Times New Roman"/>
          <w:lang w:val="en-US"/>
        </w:rPr>
        <w:t>-Sierra and Ben Smulders and others (eds)</w:t>
      </w:r>
      <w:r w:rsidRPr="00A93CE7">
        <w:rPr>
          <w:rFonts w:ascii="Times New Roman" w:hAnsi="Times New Roman" w:cs="Times New Roman"/>
        </w:rPr>
        <w:t xml:space="preserve">, Liber </w:t>
      </w:r>
      <w:proofErr w:type="spellStart"/>
      <w:r w:rsidRPr="00A93CE7">
        <w:rPr>
          <w:rFonts w:ascii="Times New Roman" w:hAnsi="Times New Roman" w:cs="Times New Roman"/>
        </w:rPr>
        <w:t>Amicorum</w:t>
      </w:r>
      <w:proofErr w:type="spellEnd"/>
      <w:r w:rsidRPr="00A93CE7">
        <w:rPr>
          <w:rFonts w:ascii="Times New Roman" w:hAnsi="Times New Roman" w:cs="Times New Roman"/>
        </w:rPr>
        <w:t xml:space="preserve"> Francisco </w:t>
      </w:r>
      <w:proofErr w:type="spellStart"/>
      <w:r w:rsidRPr="00A93CE7">
        <w:rPr>
          <w:rFonts w:ascii="Times New Roman" w:hAnsi="Times New Roman" w:cs="Times New Roman"/>
        </w:rPr>
        <w:t>Santaolalla</w:t>
      </w:r>
      <w:proofErr w:type="spellEnd"/>
    </w:p>
    <w:p w14:paraId="2C38BDDB" w14:textId="1DF32979" w:rsidR="00381F6A" w:rsidRPr="00A93CE7" w:rsidRDefault="00381F6A" w:rsidP="00381F6A">
      <w:pPr>
        <w:pStyle w:val="FootnoteText"/>
        <w:rPr>
          <w:rFonts w:ascii="Times New Roman" w:hAnsi="Times New Roman" w:cs="Times New Roman"/>
          <w:lang w:val="en-US"/>
        </w:rPr>
      </w:pPr>
      <w:proofErr w:type="spellStart"/>
      <w:r w:rsidRPr="00A93CE7">
        <w:rPr>
          <w:rFonts w:ascii="Times New Roman" w:hAnsi="Times New Roman" w:cs="Times New Roman"/>
        </w:rPr>
        <w:t>Gadea</w:t>
      </w:r>
      <w:proofErr w:type="spellEnd"/>
      <w:r w:rsidRPr="00A93CE7">
        <w:rPr>
          <w:rFonts w:ascii="Times New Roman" w:hAnsi="Times New Roman" w:cs="Times New Roman"/>
        </w:rPr>
        <w:t xml:space="preserve"> (2008: Kluwer) 191.</w:t>
      </w:r>
      <w:r w:rsidR="00B0362E" w:rsidRPr="00A93CE7">
        <w:rPr>
          <w:rFonts w:ascii="Times New Roman" w:hAnsi="Times New Roman" w:cs="Times New Roman"/>
        </w:rPr>
        <w:t xml:space="preserve"> See also Marianne </w:t>
      </w:r>
      <w:proofErr w:type="spellStart"/>
      <w:r w:rsidR="00B0362E" w:rsidRPr="00A93CE7">
        <w:rPr>
          <w:rFonts w:ascii="Times New Roman" w:hAnsi="Times New Roman" w:cs="Times New Roman"/>
        </w:rPr>
        <w:t>Dony</w:t>
      </w:r>
      <w:proofErr w:type="spellEnd"/>
      <w:r w:rsidR="00B0362E" w:rsidRPr="00A93CE7">
        <w:rPr>
          <w:rFonts w:ascii="Times New Roman" w:hAnsi="Times New Roman" w:cs="Times New Roman"/>
        </w:rPr>
        <w:t xml:space="preserve">, </w:t>
      </w:r>
      <w:r w:rsidR="00B0362E" w:rsidRPr="00A93CE7">
        <w:rPr>
          <w:rFonts w:ascii="Times New Roman" w:hAnsi="Times New Roman" w:cs="Times New Roman"/>
          <w:i/>
          <w:iCs/>
        </w:rPr>
        <w:t xml:space="preserve">La mutation de la politique des aides </w:t>
      </w:r>
      <w:proofErr w:type="spellStart"/>
      <w:r w:rsidR="00B0362E" w:rsidRPr="00A93CE7">
        <w:rPr>
          <w:rFonts w:ascii="Times New Roman" w:hAnsi="Times New Roman" w:cs="Times New Roman"/>
          <w:i/>
          <w:iCs/>
        </w:rPr>
        <w:t>D’Etat</w:t>
      </w:r>
      <w:proofErr w:type="spellEnd"/>
      <w:r w:rsidR="00B0362E" w:rsidRPr="00A93CE7">
        <w:rPr>
          <w:rFonts w:ascii="Times New Roman" w:hAnsi="Times New Roman" w:cs="Times New Roman"/>
        </w:rPr>
        <w:t>, 2024.</w:t>
      </w:r>
    </w:p>
  </w:footnote>
  <w:footnote w:id="30">
    <w:p w14:paraId="0731D8E8" w14:textId="24B0E80C" w:rsidR="00723BF3" w:rsidRPr="00A93CE7" w:rsidRDefault="00723BF3" w:rsidP="00723BF3">
      <w:pPr>
        <w:pStyle w:val="FootnoteText"/>
        <w:rPr>
          <w:rFonts w:ascii="Times New Roman" w:hAnsi="Times New Roman" w:cs="Times New Roman"/>
          <w:b/>
          <w:bCs/>
          <w:color w:val="000000" w:themeColor="text1"/>
        </w:rPr>
      </w:pPr>
      <w:r w:rsidRPr="00A93CE7">
        <w:rPr>
          <w:rStyle w:val="FootnoteReference"/>
          <w:rFonts w:ascii="Times New Roman" w:hAnsi="Times New Roman" w:cs="Times New Roman"/>
          <w:color w:val="000000" w:themeColor="text1"/>
        </w:rPr>
        <w:footnoteRef/>
      </w:r>
      <w:r w:rsidRPr="00A93CE7">
        <w:rPr>
          <w:rFonts w:ascii="Times New Roman" w:hAnsi="Times New Roman" w:cs="Times New Roman"/>
          <w:color w:val="000000" w:themeColor="text1"/>
        </w:rPr>
        <w:t xml:space="preserve"> One of the most dramatic examples refers to </w:t>
      </w:r>
      <w:r w:rsidRPr="00A93CE7">
        <w:rPr>
          <w:rFonts w:ascii="Times New Roman" w:hAnsi="Times New Roman" w:cs="Times New Roman"/>
          <w:color w:val="000000" w:themeColor="text1"/>
          <w:lang w:val="en-US"/>
        </w:rPr>
        <w:t xml:space="preserve">2022 when </w:t>
      </w:r>
      <w:r w:rsidRPr="00A93CE7">
        <w:rPr>
          <w:rFonts w:ascii="Times New Roman" w:hAnsi="Times New Roman" w:cs="Times New Roman"/>
          <w:color w:val="000000" w:themeColor="text1"/>
        </w:rPr>
        <w:t>€672bn State aid was approved of under the temporary crisis framework in force at a time, of which no less than 53 per cent has been notified by Germany.</w:t>
      </w:r>
      <w:r w:rsidRPr="00A93CE7">
        <w:rPr>
          <w:rFonts w:ascii="Times New Roman" w:hAnsi="Times New Roman" w:cs="Times New Roman"/>
          <w:color w:val="000000" w:themeColor="text1"/>
          <w:lang w:val="en-US"/>
        </w:rPr>
        <w:t xml:space="preserve"> </w:t>
      </w:r>
      <w:r w:rsidR="00844BD2" w:rsidRPr="00A93CE7">
        <w:rPr>
          <w:rFonts w:ascii="Times New Roman" w:hAnsi="Times New Roman" w:cs="Times New Roman"/>
          <w:color w:val="000000" w:themeColor="text1"/>
          <w:lang w:val="en-US"/>
        </w:rPr>
        <w:t xml:space="preserve">See </w:t>
      </w:r>
      <w:hyperlink r:id="rId3" w:history="1">
        <w:r w:rsidR="00844BD2" w:rsidRPr="00A93CE7">
          <w:rPr>
            <w:rStyle w:val="Hyperlink"/>
            <w:rFonts w:ascii="Times New Roman" w:hAnsi="Times New Roman" w:cs="Times New Roman"/>
            <w:i/>
            <w:iCs/>
            <w:lang w:val="en-US"/>
          </w:rPr>
          <w:t>Competition State Aid Brief</w:t>
        </w:r>
      </w:hyperlink>
      <w:r w:rsidR="00844BD2" w:rsidRPr="00A93CE7">
        <w:rPr>
          <w:rFonts w:ascii="Times New Roman" w:hAnsi="Times New Roman" w:cs="Times New Roman"/>
          <w:color w:val="000000" w:themeColor="text1"/>
          <w:lang w:val="en-US"/>
        </w:rPr>
        <w:t>, Issue 1/2023 – July 2023, p. 2.</w:t>
      </w:r>
      <w:r w:rsidRPr="00A93CE7">
        <w:rPr>
          <w:rFonts w:ascii="Times New Roman" w:hAnsi="Times New Roman" w:cs="Times New Roman"/>
          <w:color w:val="000000" w:themeColor="text1"/>
          <w:lang w:val="en-US"/>
        </w:rPr>
        <w:t xml:space="preserve"> In this respect, it is crucial to properly assess the practical implications of the objective to increase the competitiveness of the Internal Market. Policies (like State aid) aimed at strengthening the global opportunities of the EU cannot in fact become </w:t>
      </w:r>
      <w:r w:rsidR="00E96E4C" w:rsidRPr="00A93CE7">
        <w:rPr>
          <w:rFonts w:ascii="Times New Roman" w:hAnsi="Times New Roman" w:cs="Times New Roman"/>
          <w:color w:val="000000" w:themeColor="text1"/>
          <w:lang w:val="en-US"/>
        </w:rPr>
        <w:t>the cause of internal fragmentation.</w:t>
      </w:r>
      <w:r w:rsidR="002722B9" w:rsidRPr="00A93CE7">
        <w:rPr>
          <w:rFonts w:ascii="Times New Roman" w:hAnsi="Times New Roman" w:cs="Times New Roman"/>
          <w:color w:val="000000" w:themeColor="text1"/>
          <w:lang w:val="en-US"/>
        </w:rPr>
        <w:t xml:space="preserve"> See Donato </w:t>
      </w:r>
      <w:r w:rsidR="002722B9" w:rsidRPr="00A93CE7">
        <w:rPr>
          <w:rFonts w:ascii="Times New Roman" w:hAnsi="Times New Roman" w:cs="Times New Roman"/>
          <w:color w:val="000000" w:themeColor="text1"/>
        </w:rPr>
        <w:t xml:space="preserve">Di Carlo, Andreas </w:t>
      </w:r>
      <w:proofErr w:type="spellStart"/>
      <w:r w:rsidR="002722B9" w:rsidRPr="00A93CE7">
        <w:rPr>
          <w:rFonts w:ascii="Times New Roman" w:hAnsi="Times New Roman" w:cs="Times New Roman"/>
          <w:color w:val="000000" w:themeColor="text1"/>
        </w:rPr>
        <w:t>Eisl</w:t>
      </w:r>
      <w:proofErr w:type="spellEnd"/>
      <w:r w:rsidR="002722B9" w:rsidRPr="00A93CE7">
        <w:rPr>
          <w:rFonts w:ascii="Times New Roman" w:hAnsi="Times New Roman" w:cs="Times New Roman"/>
          <w:color w:val="000000" w:themeColor="text1"/>
        </w:rPr>
        <w:t xml:space="preserve"> and Dimitri </w:t>
      </w:r>
      <w:proofErr w:type="spellStart"/>
      <w:r w:rsidR="002722B9" w:rsidRPr="00A93CE7">
        <w:rPr>
          <w:rFonts w:ascii="Times New Roman" w:hAnsi="Times New Roman" w:cs="Times New Roman"/>
          <w:color w:val="000000" w:themeColor="text1"/>
        </w:rPr>
        <w:t>Zurstrassen</w:t>
      </w:r>
      <w:proofErr w:type="spellEnd"/>
      <w:r w:rsidR="002722B9" w:rsidRPr="00A93CE7">
        <w:rPr>
          <w:rFonts w:ascii="Times New Roman" w:hAnsi="Times New Roman" w:cs="Times New Roman"/>
          <w:color w:val="000000" w:themeColor="text1"/>
        </w:rPr>
        <w:t xml:space="preserve">, “Together we trade, divided we aid: Mapping the flexibilization of the EU state aid regime across GBER, IPCEIs and Temporary Frameworks”, Policy Paper N°307, Jacques </w:t>
      </w:r>
      <w:proofErr w:type="spellStart"/>
      <w:r w:rsidR="002722B9" w:rsidRPr="00A93CE7">
        <w:rPr>
          <w:rFonts w:ascii="Times New Roman" w:hAnsi="Times New Roman" w:cs="Times New Roman"/>
          <w:color w:val="000000" w:themeColor="text1"/>
        </w:rPr>
        <w:t>Delors</w:t>
      </w:r>
      <w:proofErr w:type="spellEnd"/>
      <w:r w:rsidR="002722B9" w:rsidRPr="00A93CE7">
        <w:rPr>
          <w:rFonts w:ascii="Times New Roman" w:hAnsi="Times New Roman" w:cs="Times New Roman"/>
          <w:color w:val="000000" w:themeColor="text1"/>
        </w:rPr>
        <w:t xml:space="preserve"> Institute, November 2024</w:t>
      </w:r>
      <w:r w:rsidR="00381F6A" w:rsidRPr="00A93CE7">
        <w:rPr>
          <w:rFonts w:ascii="Times New Roman" w:hAnsi="Times New Roman" w:cs="Times New Roman"/>
          <w:color w:val="000000" w:themeColor="text1"/>
        </w:rPr>
        <w:t>; José Manuel Rueda-</w:t>
      </w:r>
      <w:proofErr w:type="spellStart"/>
      <w:r w:rsidR="00381F6A" w:rsidRPr="00A93CE7">
        <w:rPr>
          <w:rFonts w:ascii="Times New Roman" w:hAnsi="Times New Roman" w:cs="Times New Roman"/>
          <w:color w:val="000000" w:themeColor="text1"/>
        </w:rPr>
        <w:t>Cantuche</w:t>
      </w:r>
      <w:proofErr w:type="spellEnd"/>
      <w:r w:rsidR="00381F6A" w:rsidRPr="00A93CE7">
        <w:rPr>
          <w:rFonts w:ascii="Times New Roman" w:hAnsi="Times New Roman" w:cs="Times New Roman"/>
          <w:color w:val="000000" w:themeColor="text1"/>
        </w:rPr>
        <w:t xml:space="preserve"> | Luis Enrique </w:t>
      </w:r>
      <w:proofErr w:type="spellStart"/>
      <w:r w:rsidR="00381F6A" w:rsidRPr="00A93CE7">
        <w:rPr>
          <w:rFonts w:ascii="Times New Roman" w:hAnsi="Times New Roman" w:cs="Times New Roman"/>
          <w:color w:val="000000" w:themeColor="text1"/>
        </w:rPr>
        <w:t>Pedauga</w:t>
      </w:r>
      <w:proofErr w:type="spellEnd"/>
      <w:r w:rsidR="00381F6A" w:rsidRPr="00A93CE7">
        <w:rPr>
          <w:rFonts w:ascii="Times New Roman" w:hAnsi="Times New Roman" w:cs="Times New Roman"/>
          <w:color w:val="000000" w:themeColor="text1"/>
        </w:rPr>
        <w:t xml:space="preserve"> | Juan Carlos Ruiz-García | Daria </w:t>
      </w:r>
      <w:proofErr w:type="spellStart"/>
      <w:r w:rsidR="00381F6A" w:rsidRPr="00A93CE7">
        <w:rPr>
          <w:rFonts w:ascii="Times New Roman" w:hAnsi="Times New Roman" w:cs="Times New Roman"/>
          <w:color w:val="000000" w:themeColor="text1"/>
        </w:rPr>
        <w:t>Ciriaci</w:t>
      </w:r>
      <w:proofErr w:type="spellEnd"/>
      <w:r w:rsidR="00381F6A" w:rsidRPr="00A93CE7">
        <w:rPr>
          <w:rFonts w:ascii="Times New Roman" w:hAnsi="Times New Roman" w:cs="Times New Roman"/>
          <w:color w:val="000000" w:themeColor="text1"/>
        </w:rPr>
        <w:t>, “Green transition, single market and EU’s open strategic autonomy: the impact of state aid”, Single Market Economics Briefs, 28 June 2024.</w:t>
      </w:r>
    </w:p>
  </w:footnote>
  <w:footnote w:id="31">
    <w:p w14:paraId="43C4D18D" w14:textId="410AF788" w:rsidR="00551BDB" w:rsidRPr="00A93CE7" w:rsidRDefault="00551BDB" w:rsidP="00551BDB">
      <w:pPr>
        <w:pStyle w:val="FootnoteText"/>
        <w:rPr>
          <w:rFonts w:ascii="Times New Roman" w:hAnsi="Times New Roman" w:cs="Times New Roman"/>
          <w:i/>
          <w:iC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Andrea Biondi, “Recalibrating the Single Market: State aid law”, in Marta </w:t>
      </w:r>
      <w:proofErr w:type="spellStart"/>
      <w:r w:rsidRPr="00A93CE7">
        <w:rPr>
          <w:rFonts w:ascii="Times New Roman" w:hAnsi="Times New Roman" w:cs="Times New Roman"/>
        </w:rPr>
        <w:t>Andho</w:t>
      </w:r>
      <w:r w:rsidR="00DB3433" w:rsidRPr="00A93CE7">
        <w:rPr>
          <w:rFonts w:ascii="Times New Roman" w:hAnsi="Times New Roman" w:cs="Times New Roman"/>
        </w:rPr>
        <w:t>v</w:t>
      </w:r>
      <w:proofErr w:type="spellEnd"/>
      <w:r w:rsidR="00DB3433" w:rsidRPr="00A93CE7">
        <w:rPr>
          <w:rFonts w:ascii="Times New Roman" w:hAnsi="Times New Roman" w:cs="Times New Roman"/>
        </w:rPr>
        <w:t>,</w:t>
      </w:r>
      <w:r w:rsidRPr="00A93CE7">
        <w:rPr>
          <w:rFonts w:ascii="Times New Roman" w:hAnsi="Times New Roman" w:cs="Times New Roman"/>
        </w:rPr>
        <w:t xml:space="preserve"> Andrea Biondi and Luca Rubini, </w:t>
      </w:r>
      <w:r w:rsidRPr="00A93CE7">
        <w:rPr>
          <w:rFonts w:ascii="Times New Roman" w:hAnsi="Times New Roman" w:cs="Times New Roman"/>
          <w:i/>
          <w:iCs/>
        </w:rPr>
        <w:t xml:space="preserve">Regulating for a sustainable and resilient single market </w:t>
      </w:r>
    </w:p>
    <w:p w14:paraId="1C9E52F4" w14:textId="588E47C3" w:rsidR="00551BDB" w:rsidRPr="00A93CE7" w:rsidRDefault="00551BDB">
      <w:pPr>
        <w:pStyle w:val="FootnoteText"/>
        <w:rPr>
          <w:rFonts w:ascii="Times New Roman" w:hAnsi="Times New Roman" w:cs="Times New Roman"/>
        </w:rPr>
      </w:pPr>
      <w:r w:rsidRPr="00A93CE7">
        <w:rPr>
          <w:rFonts w:ascii="Times New Roman" w:hAnsi="Times New Roman" w:cs="Times New Roman"/>
          <w:i/>
          <w:iCs/>
        </w:rPr>
        <w:t xml:space="preserve">Challenges and reforms in the areas of state aid, competition, and public procurement law </w:t>
      </w:r>
      <w:r w:rsidRPr="00A93CE7">
        <w:rPr>
          <w:rFonts w:ascii="Times New Roman" w:hAnsi="Times New Roman" w:cs="Times New Roman"/>
        </w:rPr>
        <w:t xml:space="preserve">, 2023, </w:t>
      </w:r>
      <w:proofErr w:type="spellStart"/>
      <w:r w:rsidRPr="00A93CE7">
        <w:rPr>
          <w:rFonts w:ascii="Times New Roman" w:hAnsi="Times New Roman" w:cs="Times New Roman"/>
        </w:rPr>
        <w:t>Bruxelles</w:t>
      </w:r>
      <w:proofErr w:type="spellEnd"/>
      <w:r w:rsidRPr="00A93CE7">
        <w:rPr>
          <w:rFonts w:ascii="Times New Roman" w:hAnsi="Times New Roman" w:cs="Times New Roman"/>
        </w:rPr>
        <w:t>: ETUI, at page 66.</w:t>
      </w:r>
    </w:p>
  </w:footnote>
  <w:footnote w:id="32">
    <w:p w14:paraId="4A3FB740" w14:textId="65E29F5E" w:rsidR="00B0362E" w:rsidRPr="00A93CE7" w:rsidRDefault="005E0E62">
      <w:pPr>
        <w:pStyle w:val="FootnoteText"/>
        <w:rPr>
          <w:rFonts w:ascii="Times New Roman" w:hAnsi="Times New Roman" w:cs="Times New Roman"/>
        </w:rPr>
      </w:pPr>
      <w:r w:rsidRPr="00A93CE7">
        <w:rPr>
          <w:rStyle w:val="FootnoteReference"/>
          <w:rFonts w:ascii="Times New Roman" w:hAnsi="Times New Roman" w:cs="Times New Roman"/>
        </w:rPr>
        <w:footnoteRef/>
      </w:r>
      <w:r w:rsidRPr="00A93CE7">
        <w:rPr>
          <w:rFonts w:ascii="Times New Roman" w:hAnsi="Times New Roman" w:cs="Times New Roman"/>
        </w:rPr>
        <w:t xml:space="preserve"> Granted the fuzziness of what “industrial policy” mean but accepting that State aid and subsidies are paramount tools of industrial policy (under whatever notion), EU law is clear in giving the EU only a limited role to play in this area. Article 6(b) T</w:t>
      </w:r>
      <w:r w:rsidR="006B716B" w:rsidRPr="00A93CE7">
        <w:rPr>
          <w:rFonts w:ascii="Times New Roman" w:hAnsi="Times New Roman" w:cs="Times New Roman"/>
        </w:rPr>
        <w:t>F</w:t>
      </w:r>
      <w:r w:rsidRPr="00A93CE7">
        <w:rPr>
          <w:rFonts w:ascii="Times New Roman" w:hAnsi="Times New Roman" w:cs="Times New Roman"/>
        </w:rPr>
        <w:t xml:space="preserve">EU only provides for a support competence in the field of “industry”. Article 2(5) TFEU. Article 2(5) second sentence excludes “harmonisation of Member States' laws or regulations” for support competence areas. </w:t>
      </w:r>
      <w:r w:rsidR="006B716B" w:rsidRPr="00A93CE7">
        <w:rPr>
          <w:rFonts w:ascii="Times New Roman" w:hAnsi="Times New Roman" w:cs="Times New Roman"/>
        </w:rPr>
        <w:t xml:space="preserve">While reiterates that no harmonization is possible, Article 173(3) TFEU makes it clear that “This Title shall not provide a basis for the introduction by the Union of any measure which could lead to a distortion of competition or contains tax provisions or provisions relating to the rights and interests of employed persons.” One tool, through which State aid is often granted, is taxation. Article 113 TFEU provides for unanimity in (indirect) tax harmonization. Importantly, even outside these areas, the Commission cannot proceed on its own to harmonise national laws or regulations. The standard procedure of Article 114 TFEU requires co-decision of the Council and the European Parliament. Even in the specific case of Article 106(3) TFEU, the </w:t>
      </w:r>
      <w:r w:rsidR="0031463F">
        <w:rPr>
          <w:rFonts w:ascii="Times New Roman" w:hAnsi="Times New Roman" w:cs="Times New Roman"/>
        </w:rPr>
        <w:t xml:space="preserve">EU </w:t>
      </w:r>
      <w:r w:rsidR="006B716B" w:rsidRPr="0031463F">
        <w:rPr>
          <w:rFonts w:ascii="Times New Roman" w:hAnsi="Times New Roman" w:cs="Times New Roman"/>
        </w:rPr>
        <w:t>jurisprudence</w:t>
      </w:r>
      <w:r w:rsidR="006B716B" w:rsidRPr="00A93CE7">
        <w:rPr>
          <w:rFonts w:ascii="Times New Roman" w:hAnsi="Times New Roman" w:cs="Times New Roman"/>
        </w:rPr>
        <w:t xml:space="preserve"> has made it clear that Commission’s directive in the field of public undertakings, undertakings with special or exclusive rights, undertakings entrusted with services of general economic interest or revenue-generating monopolies, cannot create new obligations but can only specific the duties of Article 106.</w:t>
      </w:r>
    </w:p>
  </w:footnote>
  <w:footnote w:id="33">
    <w:p w14:paraId="658753FB" w14:textId="24E3C913" w:rsidR="00E05451" w:rsidRPr="00A93CE7" w:rsidRDefault="00E05451">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00084D26">
        <w:rPr>
          <w:rFonts w:ascii="Times New Roman" w:hAnsi="Times New Roman" w:cs="Times New Roman"/>
        </w:rPr>
        <w:t xml:space="preserve">Council and European Parliament </w:t>
      </w:r>
      <w:r w:rsidRPr="00A93CE7">
        <w:rPr>
          <w:rFonts w:ascii="Times New Roman" w:hAnsi="Times New Roman" w:cs="Times New Roman"/>
        </w:rPr>
        <w:t>Regulation (EU) 2022/2560 of the European Parliament and of the Council of 14 December 2022 on foreign subsidies distorting the internal market</w:t>
      </w:r>
      <w:r w:rsidR="00084D26">
        <w:rPr>
          <w:rFonts w:ascii="Times New Roman" w:hAnsi="Times New Roman" w:cs="Times New Roman"/>
        </w:rPr>
        <w:t xml:space="preserve">, 2022, </w:t>
      </w:r>
      <w:r w:rsidR="00084D26" w:rsidRPr="00084D26">
        <w:rPr>
          <w:rFonts w:ascii="Times New Roman" w:hAnsi="Times New Roman" w:cs="Times New Roman"/>
        </w:rPr>
        <w:t>L 330, Pages 1-45</w:t>
      </w:r>
      <w:r w:rsidR="00FC2F24">
        <w:rPr>
          <w:rFonts w:ascii="Times New Roman" w:hAnsi="Times New Roman" w:cs="Times New Roman"/>
        </w:rPr>
        <w:t>.</w:t>
      </w:r>
    </w:p>
  </w:footnote>
  <w:footnote w:id="34">
    <w:p w14:paraId="69D85AF0" w14:textId="54CDDED8" w:rsidR="000B4015" w:rsidRPr="00A93CE7" w:rsidRDefault="000B4015">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 xml:space="preserve">Luca Rubini, </w:t>
      </w:r>
      <w:r w:rsidRPr="00A93CE7">
        <w:rPr>
          <w:rFonts w:ascii="Times New Roman" w:hAnsi="Times New Roman" w:cs="Times New Roman"/>
        </w:rPr>
        <w:t xml:space="preserve">“Transcending territoriality: Expanding EU State aid control through consensus and coercion” in Leigh </w:t>
      </w:r>
      <w:proofErr w:type="spellStart"/>
      <w:r w:rsidRPr="00A93CE7">
        <w:rPr>
          <w:rFonts w:ascii="Times New Roman" w:hAnsi="Times New Roman" w:cs="Times New Roman"/>
        </w:rPr>
        <w:t>Hancher</w:t>
      </w:r>
      <w:proofErr w:type="spellEnd"/>
      <w:r w:rsidRPr="00A93CE7">
        <w:rPr>
          <w:rFonts w:ascii="Times New Roman" w:hAnsi="Times New Roman" w:cs="Times New Roman"/>
        </w:rPr>
        <w:t xml:space="preserve">, Juan-Jorge </w:t>
      </w:r>
      <w:proofErr w:type="spellStart"/>
      <w:r w:rsidRPr="00A93CE7">
        <w:rPr>
          <w:rFonts w:ascii="Times New Roman" w:hAnsi="Times New Roman" w:cs="Times New Roman"/>
        </w:rPr>
        <w:t>Piernaz</w:t>
      </w:r>
      <w:proofErr w:type="spellEnd"/>
      <w:r w:rsidRPr="00A93CE7">
        <w:rPr>
          <w:rFonts w:ascii="Times New Roman" w:hAnsi="Times New Roman" w:cs="Times New Roman"/>
        </w:rPr>
        <w:t>-Lopez, Luca Rubin</w:t>
      </w:r>
      <w:r w:rsidR="00E66D24" w:rsidRPr="00A93CE7">
        <w:rPr>
          <w:rFonts w:ascii="Times New Roman" w:hAnsi="Times New Roman" w:cs="Times New Roman"/>
        </w:rPr>
        <w:t>i</w:t>
      </w:r>
      <w:r w:rsidRPr="00A93CE7">
        <w:rPr>
          <w:rFonts w:ascii="Times New Roman" w:hAnsi="Times New Roman" w:cs="Times New Roman"/>
        </w:rPr>
        <w:t xml:space="preserve"> (eds.)</w:t>
      </w:r>
      <w:r w:rsidRPr="00A93CE7">
        <w:rPr>
          <w:rFonts w:ascii="Times New Roman" w:hAnsi="Times New Roman" w:cs="Times New Roman"/>
          <w:i/>
          <w:iCs/>
        </w:rPr>
        <w:t>The future of EU State aid law – Consolidation and Expansion</w:t>
      </w:r>
      <w:r w:rsidRPr="00A93CE7">
        <w:rPr>
          <w:rFonts w:ascii="Times New Roman" w:hAnsi="Times New Roman" w:cs="Times New Roman"/>
        </w:rPr>
        <w:t xml:space="preserve"> (Madrid: EU Law Live Press) 119-134.</w:t>
      </w:r>
    </w:p>
  </w:footnote>
  <w:footnote w:id="35">
    <w:p w14:paraId="0D10835E" w14:textId="47962778" w:rsidR="00E05451" w:rsidRPr="00A93CE7" w:rsidRDefault="00E05451">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00BE0B71">
        <w:rPr>
          <w:rFonts w:ascii="Times New Roman" w:hAnsi="Times New Roman" w:cs="Times New Roman"/>
        </w:rPr>
        <w:t xml:space="preserve">On the accommodation of the NextGeneration EU (“NGEU”) within the EU Constitution, see </w:t>
      </w:r>
      <w:proofErr w:type="spellStart"/>
      <w:r w:rsidR="00BE0B71">
        <w:rPr>
          <w:rFonts w:ascii="Times New Roman" w:hAnsi="Times New Roman" w:cs="Times New Roman"/>
        </w:rPr>
        <w:t>Päivi</w:t>
      </w:r>
      <w:proofErr w:type="spellEnd"/>
      <w:r w:rsidR="00BE0B71">
        <w:rPr>
          <w:rFonts w:ascii="Times New Roman" w:hAnsi="Times New Roman" w:cs="Times New Roman"/>
        </w:rPr>
        <w:t xml:space="preserve"> </w:t>
      </w:r>
      <w:proofErr w:type="spellStart"/>
      <w:r w:rsidR="00BE0B71">
        <w:rPr>
          <w:rFonts w:ascii="Times New Roman" w:hAnsi="Times New Roman" w:cs="Times New Roman"/>
        </w:rPr>
        <w:t>Leino</w:t>
      </w:r>
      <w:proofErr w:type="spellEnd"/>
      <w:r w:rsidR="00BE0B71">
        <w:rPr>
          <w:rFonts w:ascii="Times New Roman" w:hAnsi="Times New Roman" w:cs="Times New Roman"/>
        </w:rPr>
        <w:t xml:space="preserve">-Sandberg, “The secret life of the EU treaties: NFEU and the politics of the EU’s ‘living constitution’” (2026) European Law Open, 1-23. This trend towards anti-formalism and constitutional innovations is not limited to the EU. </w:t>
      </w:r>
      <w:r w:rsidRPr="00A93CE7">
        <w:rPr>
          <w:rFonts w:ascii="Times New Roman" w:hAnsi="Times New Roman" w:cs="Times New Roman"/>
          <w:lang w:val="en-US"/>
        </w:rPr>
        <w:t>At the multilateral level, it is quite telling that the WTO’s recent 14</w:t>
      </w:r>
      <w:r w:rsidRPr="00A93CE7">
        <w:rPr>
          <w:rFonts w:ascii="Times New Roman" w:hAnsi="Times New Roman" w:cs="Times New Roman"/>
          <w:vertAlign w:val="superscript"/>
          <w:lang w:val="en-US"/>
        </w:rPr>
        <w:t>th</w:t>
      </w:r>
      <w:r w:rsidRPr="00A93CE7">
        <w:rPr>
          <w:rFonts w:ascii="Times New Roman" w:hAnsi="Times New Roman" w:cs="Times New Roman"/>
          <w:lang w:val="en-US"/>
        </w:rPr>
        <w:t xml:space="preserve"> Ministerial Conference 14 (“MC14”), which took place between 26</w:t>
      </w:r>
      <w:r w:rsidRPr="00A93CE7">
        <w:rPr>
          <w:rFonts w:ascii="Times New Roman" w:hAnsi="Times New Roman" w:cs="Times New Roman"/>
          <w:vertAlign w:val="superscript"/>
          <w:lang w:val="en-US"/>
        </w:rPr>
        <w:t>th</w:t>
      </w:r>
      <w:r w:rsidRPr="00A93CE7">
        <w:rPr>
          <w:rFonts w:ascii="Times New Roman" w:hAnsi="Times New Roman" w:cs="Times New Roman"/>
          <w:lang w:val="en-US"/>
        </w:rPr>
        <w:t xml:space="preserve"> to 30</w:t>
      </w:r>
      <w:r w:rsidRPr="00A93CE7">
        <w:rPr>
          <w:rFonts w:ascii="Times New Roman" w:hAnsi="Times New Roman" w:cs="Times New Roman"/>
          <w:vertAlign w:val="superscript"/>
          <w:lang w:val="en-US"/>
        </w:rPr>
        <w:t>th</w:t>
      </w:r>
      <w:r w:rsidRPr="00A93CE7">
        <w:rPr>
          <w:rFonts w:ascii="Times New Roman" w:hAnsi="Times New Roman" w:cs="Times New Roman"/>
          <w:lang w:val="en-US"/>
        </w:rPr>
        <w:t xml:space="preserve"> March 2026, could not end with any meaningful decision. Among others, there were great expectations that the Membership could eventually incorporate an e-commerce agreement into the rule-book. With consensus being necessary, this was not possible. The only way out was for 66 Members to negotiate an interim agreement </w:t>
      </w:r>
      <w:r w:rsidRPr="00A93CE7">
        <w:rPr>
          <w:rFonts w:ascii="Times New Roman" w:hAnsi="Times New Roman" w:cs="Times New Roman"/>
          <w:i/>
          <w:iCs/>
          <w:lang w:val="en-US"/>
        </w:rPr>
        <w:t xml:space="preserve">outside </w:t>
      </w:r>
      <w:r w:rsidRPr="00A93CE7">
        <w:rPr>
          <w:rFonts w:ascii="Times New Roman" w:hAnsi="Times New Roman" w:cs="Times New Roman"/>
          <w:lang w:val="en-US"/>
        </w:rPr>
        <w:t>the WTO legal framework.</w:t>
      </w:r>
    </w:p>
  </w:footnote>
  <w:footnote w:id="36">
    <w:p w14:paraId="57DA88C7" w14:textId="530AD17C" w:rsidR="00D3479C" w:rsidRPr="00A93CE7" w:rsidRDefault="00D3479C">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See, e.g., </w:t>
      </w:r>
      <w:r w:rsidRPr="00A93CE7">
        <w:rPr>
          <w:rFonts w:ascii="Times New Roman" w:hAnsi="Times New Roman" w:cs="Times New Roman"/>
          <w:lang w:val="en-US"/>
        </w:rPr>
        <w:t xml:space="preserve">Mario Draghi, </w:t>
      </w:r>
      <w:r w:rsidRPr="00A93CE7">
        <w:rPr>
          <w:rFonts w:ascii="Times New Roman" w:hAnsi="Times New Roman" w:cs="Times New Roman"/>
          <w:i/>
          <w:iCs/>
          <w:lang w:val="en-US"/>
        </w:rPr>
        <w:t>A Competitive Strategy for Europe</w:t>
      </w:r>
      <w:r w:rsidRPr="00A93CE7">
        <w:rPr>
          <w:rFonts w:ascii="Times New Roman" w:hAnsi="Times New Roman" w:cs="Times New Roman"/>
          <w:lang w:val="en-US"/>
        </w:rPr>
        <w:t>, 9</w:t>
      </w:r>
      <w:r w:rsidRPr="00A93CE7">
        <w:rPr>
          <w:rFonts w:ascii="Times New Roman" w:hAnsi="Times New Roman" w:cs="Times New Roman"/>
          <w:vertAlign w:val="superscript"/>
          <w:lang w:val="en-US"/>
        </w:rPr>
        <w:t>th</w:t>
      </w:r>
      <w:r w:rsidRPr="00A93CE7">
        <w:rPr>
          <w:rFonts w:ascii="Times New Roman" w:hAnsi="Times New Roman" w:cs="Times New Roman"/>
          <w:lang w:val="en-US"/>
        </w:rPr>
        <w:t xml:space="preserve"> September 2024.</w:t>
      </w:r>
    </w:p>
  </w:footnote>
  <w:footnote w:id="37">
    <w:p w14:paraId="1AC2E39F" w14:textId="2AD51033" w:rsidR="00B93B64" w:rsidRPr="00A93CE7" w:rsidRDefault="00B93B64">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Mario Draghi, speech at the KU Leuven University, 2</w:t>
      </w:r>
      <w:r w:rsidRPr="00A93CE7">
        <w:rPr>
          <w:rFonts w:ascii="Times New Roman" w:hAnsi="Times New Roman" w:cs="Times New Roman"/>
          <w:vertAlign w:val="superscript"/>
          <w:lang w:val="en-US"/>
        </w:rPr>
        <w:t>nd</w:t>
      </w:r>
      <w:r w:rsidRPr="00A93CE7">
        <w:rPr>
          <w:rFonts w:ascii="Times New Roman" w:hAnsi="Times New Roman" w:cs="Times New Roman"/>
          <w:lang w:val="en-US"/>
        </w:rPr>
        <w:t xml:space="preserve"> February 2026, at https://www.kuleuven.be/english/about-kuleuven/patron-saints-day/2026/.</w:t>
      </w:r>
    </w:p>
  </w:footnote>
  <w:footnote w:id="38">
    <w:p w14:paraId="7EC7D290" w14:textId="5793C70F" w:rsidR="00A93CE7" w:rsidRPr="00A93CE7" w:rsidRDefault="00A93CE7">
      <w:pPr>
        <w:pStyle w:val="FootnoteText"/>
        <w:rPr>
          <w:rFonts w:ascii="Times New Roman" w:hAnsi="Times New Roman" w:cs="Times New Roman"/>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lang w:val="en-US"/>
        </w:rPr>
        <w:t xml:space="preserve">This would represent an upgrade from the current the </w:t>
      </w:r>
      <w:r w:rsidRPr="00A93CE7">
        <w:rPr>
          <w:rFonts w:ascii="Times New Roman" w:hAnsi="Times New Roman" w:cs="Times New Roman"/>
        </w:rPr>
        <w:t>Important Projects of Common European Interest (IPCEI) regulated under State aid law.</w:t>
      </w:r>
      <w:r>
        <w:rPr>
          <w:rFonts w:ascii="Times New Roman" w:hAnsi="Times New Roman" w:cs="Times New Roman"/>
        </w:rPr>
        <w:t xml:space="preserve"> Similar proposals were made by Enrico Letta in his </w:t>
      </w:r>
      <w:r>
        <w:rPr>
          <w:rFonts w:ascii="Times New Roman" w:hAnsi="Times New Roman" w:cs="Times New Roman"/>
          <w:i/>
          <w:iCs/>
        </w:rPr>
        <w:t xml:space="preserve">Much More than A Market </w:t>
      </w:r>
      <w:r>
        <w:rPr>
          <w:rFonts w:ascii="Times New Roman" w:hAnsi="Times New Roman" w:cs="Times New Roman"/>
        </w:rPr>
        <w:t>report of April 2024.</w:t>
      </w:r>
    </w:p>
  </w:footnote>
  <w:footnote w:id="39">
    <w:p w14:paraId="60C2E032" w14:textId="624E361C" w:rsidR="005B79F7" w:rsidRPr="00A93CE7" w:rsidRDefault="005B79F7">
      <w:pPr>
        <w:pStyle w:val="FootnoteText"/>
        <w:rPr>
          <w:rFonts w:ascii="Times New Roman" w:hAnsi="Times New Roman" w:cs="Times New Roman"/>
          <w:lang w:val="en-US"/>
        </w:rPr>
      </w:pPr>
      <w:r w:rsidRPr="00A93CE7">
        <w:rPr>
          <w:rStyle w:val="FootnoteReference"/>
          <w:rFonts w:ascii="Times New Roman" w:hAnsi="Times New Roman" w:cs="Times New Roman"/>
        </w:rPr>
        <w:footnoteRef/>
      </w:r>
      <w:r w:rsidRPr="00A93CE7">
        <w:rPr>
          <w:rFonts w:ascii="Times New Roman" w:hAnsi="Times New Roman" w:cs="Times New Roman"/>
        </w:rPr>
        <w:t xml:space="preserve"> </w:t>
      </w:r>
      <w:r w:rsidRPr="00A93CE7">
        <w:rPr>
          <w:rFonts w:ascii="Times New Roman" w:hAnsi="Times New Roman" w:cs="Times New Roman"/>
          <w:color w:val="000000" w:themeColor="text1"/>
          <w:lang w:val="en-US"/>
        </w:rPr>
        <w:t xml:space="preserve">Claus-Dieter </w:t>
      </w:r>
      <w:proofErr w:type="spellStart"/>
      <w:r w:rsidRPr="00A93CE7">
        <w:rPr>
          <w:rFonts w:ascii="Times New Roman" w:hAnsi="Times New Roman" w:cs="Times New Roman"/>
          <w:color w:val="000000" w:themeColor="text1"/>
          <w:lang w:val="en-US"/>
        </w:rPr>
        <w:t>Ehlermann</w:t>
      </w:r>
      <w:proofErr w:type="spellEnd"/>
      <w:r w:rsidRPr="00A93CE7">
        <w:rPr>
          <w:rFonts w:ascii="Times New Roman" w:hAnsi="Times New Roman" w:cs="Times New Roman"/>
          <w:color w:val="000000" w:themeColor="text1"/>
          <w:lang w:val="en-US"/>
        </w:rPr>
        <w:t>, “State Aid Control in the European Union: Success or Failure?” (1994) Fordham International Law Journal, 1212-1229, at 1218.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96931"/>
    <w:multiLevelType w:val="hybridMultilevel"/>
    <w:tmpl w:val="B3DC920A"/>
    <w:lvl w:ilvl="0" w:tplc="F61674E8">
      <w:start w:val="1"/>
      <w:numFmt w:val="bullet"/>
      <w:lvlText w:val="•"/>
      <w:lvlJc w:val="left"/>
      <w:pPr>
        <w:tabs>
          <w:tab w:val="num" w:pos="720"/>
        </w:tabs>
        <w:ind w:left="720" w:hanging="360"/>
      </w:pPr>
      <w:rPr>
        <w:rFonts w:ascii="Arial" w:hAnsi="Arial" w:hint="default"/>
      </w:rPr>
    </w:lvl>
    <w:lvl w:ilvl="1" w:tplc="89121D36" w:tentative="1">
      <w:start w:val="1"/>
      <w:numFmt w:val="bullet"/>
      <w:lvlText w:val="•"/>
      <w:lvlJc w:val="left"/>
      <w:pPr>
        <w:tabs>
          <w:tab w:val="num" w:pos="1440"/>
        </w:tabs>
        <w:ind w:left="1440" w:hanging="360"/>
      </w:pPr>
      <w:rPr>
        <w:rFonts w:ascii="Arial" w:hAnsi="Arial" w:hint="default"/>
      </w:rPr>
    </w:lvl>
    <w:lvl w:ilvl="2" w:tplc="F63E3236" w:tentative="1">
      <w:start w:val="1"/>
      <w:numFmt w:val="bullet"/>
      <w:lvlText w:val="•"/>
      <w:lvlJc w:val="left"/>
      <w:pPr>
        <w:tabs>
          <w:tab w:val="num" w:pos="2160"/>
        </w:tabs>
        <w:ind w:left="2160" w:hanging="360"/>
      </w:pPr>
      <w:rPr>
        <w:rFonts w:ascii="Arial" w:hAnsi="Arial" w:hint="default"/>
      </w:rPr>
    </w:lvl>
    <w:lvl w:ilvl="3" w:tplc="A516C322" w:tentative="1">
      <w:start w:val="1"/>
      <w:numFmt w:val="bullet"/>
      <w:lvlText w:val="•"/>
      <w:lvlJc w:val="left"/>
      <w:pPr>
        <w:tabs>
          <w:tab w:val="num" w:pos="2880"/>
        </w:tabs>
        <w:ind w:left="2880" w:hanging="360"/>
      </w:pPr>
      <w:rPr>
        <w:rFonts w:ascii="Arial" w:hAnsi="Arial" w:hint="default"/>
      </w:rPr>
    </w:lvl>
    <w:lvl w:ilvl="4" w:tplc="6EE82AF4" w:tentative="1">
      <w:start w:val="1"/>
      <w:numFmt w:val="bullet"/>
      <w:lvlText w:val="•"/>
      <w:lvlJc w:val="left"/>
      <w:pPr>
        <w:tabs>
          <w:tab w:val="num" w:pos="3600"/>
        </w:tabs>
        <w:ind w:left="3600" w:hanging="360"/>
      </w:pPr>
      <w:rPr>
        <w:rFonts w:ascii="Arial" w:hAnsi="Arial" w:hint="default"/>
      </w:rPr>
    </w:lvl>
    <w:lvl w:ilvl="5" w:tplc="1AF228BC" w:tentative="1">
      <w:start w:val="1"/>
      <w:numFmt w:val="bullet"/>
      <w:lvlText w:val="•"/>
      <w:lvlJc w:val="left"/>
      <w:pPr>
        <w:tabs>
          <w:tab w:val="num" w:pos="4320"/>
        </w:tabs>
        <w:ind w:left="4320" w:hanging="360"/>
      </w:pPr>
      <w:rPr>
        <w:rFonts w:ascii="Arial" w:hAnsi="Arial" w:hint="default"/>
      </w:rPr>
    </w:lvl>
    <w:lvl w:ilvl="6" w:tplc="F80A1A18" w:tentative="1">
      <w:start w:val="1"/>
      <w:numFmt w:val="bullet"/>
      <w:lvlText w:val="•"/>
      <w:lvlJc w:val="left"/>
      <w:pPr>
        <w:tabs>
          <w:tab w:val="num" w:pos="5040"/>
        </w:tabs>
        <w:ind w:left="5040" w:hanging="360"/>
      </w:pPr>
      <w:rPr>
        <w:rFonts w:ascii="Arial" w:hAnsi="Arial" w:hint="default"/>
      </w:rPr>
    </w:lvl>
    <w:lvl w:ilvl="7" w:tplc="6B9227D8" w:tentative="1">
      <w:start w:val="1"/>
      <w:numFmt w:val="bullet"/>
      <w:lvlText w:val="•"/>
      <w:lvlJc w:val="left"/>
      <w:pPr>
        <w:tabs>
          <w:tab w:val="num" w:pos="5760"/>
        </w:tabs>
        <w:ind w:left="5760" w:hanging="360"/>
      </w:pPr>
      <w:rPr>
        <w:rFonts w:ascii="Arial" w:hAnsi="Arial" w:hint="default"/>
      </w:rPr>
    </w:lvl>
    <w:lvl w:ilvl="8" w:tplc="00A6627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DC655E"/>
    <w:multiLevelType w:val="hybridMultilevel"/>
    <w:tmpl w:val="A8D8F6D6"/>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FD3E4C"/>
    <w:multiLevelType w:val="hybridMultilevel"/>
    <w:tmpl w:val="408CADEC"/>
    <w:lvl w:ilvl="0" w:tplc="A10AAF2A">
      <w:start w:val="1"/>
      <w:numFmt w:val="bullet"/>
      <w:lvlText w:val="•"/>
      <w:lvlJc w:val="left"/>
      <w:pPr>
        <w:tabs>
          <w:tab w:val="num" w:pos="720"/>
        </w:tabs>
        <w:ind w:left="720" w:hanging="360"/>
      </w:pPr>
      <w:rPr>
        <w:rFonts w:ascii="Arial" w:hAnsi="Arial" w:hint="default"/>
      </w:rPr>
    </w:lvl>
    <w:lvl w:ilvl="1" w:tplc="5E3C9ED4" w:tentative="1">
      <w:start w:val="1"/>
      <w:numFmt w:val="bullet"/>
      <w:lvlText w:val="•"/>
      <w:lvlJc w:val="left"/>
      <w:pPr>
        <w:tabs>
          <w:tab w:val="num" w:pos="1440"/>
        </w:tabs>
        <w:ind w:left="1440" w:hanging="360"/>
      </w:pPr>
      <w:rPr>
        <w:rFonts w:ascii="Arial" w:hAnsi="Arial" w:hint="default"/>
      </w:rPr>
    </w:lvl>
    <w:lvl w:ilvl="2" w:tplc="B1B4C6C6" w:tentative="1">
      <w:start w:val="1"/>
      <w:numFmt w:val="bullet"/>
      <w:lvlText w:val="•"/>
      <w:lvlJc w:val="left"/>
      <w:pPr>
        <w:tabs>
          <w:tab w:val="num" w:pos="2160"/>
        </w:tabs>
        <w:ind w:left="2160" w:hanging="360"/>
      </w:pPr>
      <w:rPr>
        <w:rFonts w:ascii="Arial" w:hAnsi="Arial" w:hint="default"/>
      </w:rPr>
    </w:lvl>
    <w:lvl w:ilvl="3" w:tplc="2098BCEE" w:tentative="1">
      <w:start w:val="1"/>
      <w:numFmt w:val="bullet"/>
      <w:lvlText w:val="•"/>
      <w:lvlJc w:val="left"/>
      <w:pPr>
        <w:tabs>
          <w:tab w:val="num" w:pos="2880"/>
        </w:tabs>
        <w:ind w:left="2880" w:hanging="360"/>
      </w:pPr>
      <w:rPr>
        <w:rFonts w:ascii="Arial" w:hAnsi="Arial" w:hint="default"/>
      </w:rPr>
    </w:lvl>
    <w:lvl w:ilvl="4" w:tplc="7486A7B2" w:tentative="1">
      <w:start w:val="1"/>
      <w:numFmt w:val="bullet"/>
      <w:lvlText w:val="•"/>
      <w:lvlJc w:val="left"/>
      <w:pPr>
        <w:tabs>
          <w:tab w:val="num" w:pos="3600"/>
        </w:tabs>
        <w:ind w:left="3600" w:hanging="360"/>
      </w:pPr>
      <w:rPr>
        <w:rFonts w:ascii="Arial" w:hAnsi="Arial" w:hint="default"/>
      </w:rPr>
    </w:lvl>
    <w:lvl w:ilvl="5" w:tplc="FC34E37E" w:tentative="1">
      <w:start w:val="1"/>
      <w:numFmt w:val="bullet"/>
      <w:lvlText w:val="•"/>
      <w:lvlJc w:val="left"/>
      <w:pPr>
        <w:tabs>
          <w:tab w:val="num" w:pos="4320"/>
        </w:tabs>
        <w:ind w:left="4320" w:hanging="360"/>
      </w:pPr>
      <w:rPr>
        <w:rFonts w:ascii="Arial" w:hAnsi="Arial" w:hint="default"/>
      </w:rPr>
    </w:lvl>
    <w:lvl w:ilvl="6" w:tplc="DB5E3ECA" w:tentative="1">
      <w:start w:val="1"/>
      <w:numFmt w:val="bullet"/>
      <w:lvlText w:val="•"/>
      <w:lvlJc w:val="left"/>
      <w:pPr>
        <w:tabs>
          <w:tab w:val="num" w:pos="5040"/>
        </w:tabs>
        <w:ind w:left="5040" w:hanging="360"/>
      </w:pPr>
      <w:rPr>
        <w:rFonts w:ascii="Arial" w:hAnsi="Arial" w:hint="default"/>
      </w:rPr>
    </w:lvl>
    <w:lvl w:ilvl="7" w:tplc="33A47D0E" w:tentative="1">
      <w:start w:val="1"/>
      <w:numFmt w:val="bullet"/>
      <w:lvlText w:val="•"/>
      <w:lvlJc w:val="left"/>
      <w:pPr>
        <w:tabs>
          <w:tab w:val="num" w:pos="5760"/>
        </w:tabs>
        <w:ind w:left="5760" w:hanging="360"/>
      </w:pPr>
      <w:rPr>
        <w:rFonts w:ascii="Arial" w:hAnsi="Arial" w:hint="default"/>
      </w:rPr>
    </w:lvl>
    <w:lvl w:ilvl="8" w:tplc="162296F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87D35BB"/>
    <w:multiLevelType w:val="hybridMultilevel"/>
    <w:tmpl w:val="F8F6BA86"/>
    <w:lvl w:ilvl="0" w:tplc="2714A2DC">
      <w:start w:val="1"/>
      <w:numFmt w:val="bullet"/>
      <w:lvlText w:val="•"/>
      <w:lvlJc w:val="left"/>
      <w:pPr>
        <w:tabs>
          <w:tab w:val="num" w:pos="720"/>
        </w:tabs>
        <w:ind w:left="720" w:hanging="360"/>
      </w:pPr>
      <w:rPr>
        <w:rFonts w:ascii="Arial" w:hAnsi="Arial" w:hint="default"/>
      </w:rPr>
    </w:lvl>
    <w:lvl w:ilvl="1" w:tplc="738A1492" w:tentative="1">
      <w:start w:val="1"/>
      <w:numFmt w:val="bullet"/>
      <w:lvlText w:val="•"/>
      <w:lvlJc w:val="left"/>
      <w:pPr>
        <w:tabs>
          <w:tab w:val="num" w:pos="1440"/>
        </w:tabs>
        <w:ind w:left="1440" w:hanging="360"/>
      </w:pPr>
      <w:rPr>
        <w:rFonts w:ascii="Arial" w:hAnsi="Arial" w:hint="default"/>
      </w:rPr>
    </w:lvl>
    <w:lvl w:ilvl="2" w:tplc="75A84798" w:tentative="1">
      <w:start w:val="1"/>
      <w:numFmt w:val="bullet"/>
      <w:lvlText w:val="•"/>
      <w:lvlJc w:val="left"/>
      <w:pPr>
        <w:tabs>
          <w:tab w:val="num" w:pos="2160"/>
        </w:tabs>
        <w:ind w:left="2160" w:hanging="360"/>
      </w:pPr>
      <w:rPr>
        <w:rFonts w:ascii="Arial" w:hAnsi="Arial" w:hint="default"/>
      </w:rPr>
    </w:lvl>
    <w:lvl w:ilvl="3" w:tplc="E2F67994" w:tentative="1">
      <w:start w:val="1"/>
      <w:numFmt w:val="bullet"/>
      <w:lvlText w:val="•"/>
      <w:lvlJc w:val="left"/>
      <w:pPr>
        <w:tabs>
          <w:tab w:val="num" w:pos="2880"/>
        </w:tabs>
        <w:ind w:left="2880" w:hanging="360"/>
      </w:pPr>
      <w:rPr>
        <w:rFonts w:ascii="Arial" w:hAnsi="Arial" w:hint="default"/>
      </w:rPr>
    </w:lvl>
    <w:lvl w:ilvl="4" w:tplc="A6164B2C" w:tentative="1">
      <w:start w:val="1"/>
      <w:numFmt w:val="bullet"/>
      <w:lvlText w:val="•"/>
      <w:lvlJc w:val="left"/>
      <w:pPr>
        <w:tabs>
          <w:tab w:val="num" w:pos="3600"/>
        </w:tabs>
        <w:ind w:left="3600" w:hanging="360"/>
      </w:pPr>
      <w:rPr>
        <w:rFonts w:ascii="Arial" w:hAnsi="Arial" w:hint="default"/>
      </w:rPr>
    </w:lvl>
    <w:lvl w:ilvl="5" w:tplc="3B9C2178" w:tentative="1">
      <w:start w:val="1"/>
      <w:numFmt w:val="bullet"/>
      <w:lvlText w:val="•"/>
      <w:lvlJc w:val="left"/>
      <w:pPr>
        <w:tabs>
          <w:tab w:val="num" w:pos="4320"/>
        </w:tabs>
        <w:ind w:left="4320" w:hanging="360"/>
      </w:pPr>
      <w:rPr>
        <w:rFonts w:ascii="Arial" w:hAnsi="Arial" w:hint="default"/>
      </w:rPr>
    </w:lvl>
    <w:lvl w:ilvl="6" w:tplc="76A06B88" w:tentative="1">
      <w:start w:val="1"/>
      <w:numFmt w:val="bullet"/>
      <w:lvlText w:val="•"/>
      <w:lvlJc w:val="left"/>
      <w:pPr>
        <w:tabs>
          <w:tab w:val="num" w:pos="5040"/>
        </w:tabs>
        <w:ind w:left="5040" w:hanging="360"/>
      </w:pPr>
      <w:rPr>
        <w:rFonts w:ascii="Arial" w:hAnsi="Arial" w:hint="default"/>
      </w:rPr>
    </w:lvl>
    <w:lvl w:ilvl="7" w:tplc="D8501C5C" w:tentative="1">
      <w:start w:val="1"/>
      <w:numFmt w:val="bullet"/>
      <w:lvlText w:val="•"/>
      <w:lvlJc w:val="left"/>
      <w:pPr>
        <w:tabs>
          <w:tab w:val="num" w:pos="5760"/>
        </w:tabs>
        <w:ind w:left="5760" w:hanging="360"/>
      </w:pPr>
      <w:rPr>
        <w:rFonts w:ascii="Arial" w:hAnsi="Arial" w:hint="default"/>
      </w:rPr>
    </w:lvl>
    <w:lvl w:ilvl="8" w:tplc="7E74B87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9CC7034"/>
    <w:multiLevelType w:val="hybridMultilevel"/>
    <w:tmpl w:val="7416D0CE"/>
    <w:lvl w:ilvl="0" w:tplc="F1EC8984">
      <w:start w:val="1"/>
      <w:numFmt w:val="bullet"/>
      <w:lvlText w:val="•"/>
      <w:lvlJc w:val="left"/>
      <w:pPr>
        <w:tabs>
          <w:tab w:val="num" w:pos="720"/>
        </w:tabs>
        <w:ind w:left="720" w:hanging="360"/>
      </w:pPr>
      <w:rPr>
        <w:rFonts w:ascii="Arial" w:hAnsi="Arial" w:hint="default"/>
      </w:rPr>
    </w:lvl>
    <w:lvl w:ilvl="1" w:tplc="3062927E">
      <w:numFmt w:val="bullet"/>
      <w:lvlText w:val="•"/>
      <w:lvlJc w:val="left"/>
      <w:pPr>
        <w:tabs>
          <w:tab w:val="num" w:pos="1440"/>
        </w:tabs>
        <w:ind w:left="1440" w:hanging="360"/>
      </w:pPr>
      <w:rPr>
        <w:rFonts w:ascii="Arial" w:hAnsi="Arial" w:hint="default"/>
      </w:rPr>
    </w:lvl>
    <w:lvl w:ilvl="2" w:tplc="8E92D91A" w:tentative="1">
      <w:start w:val="1"/>
      <w:numFmt w:val="bullet"/>
      <w:lvlText w:val="•"/>
      <w:lvlJc w:val="left"/>
      <w:pPr>
        <w:tabs>
          <w:tab w:val="num" w:pos="2160"/>
        </w:tabs>
        <w:ind w:left="2160" w:hanging="360"/>
      </w:pPr>
      <w:rPr>
        <w:rFonts w:ascii="Arial" w:hAnsi="Arial" w:hint="default"/>
      </w:rPr>
    </w:lvl>
    <w:lvl w:ilvl="3" w:tplc="5830BDF2" w:tentative="1">
      <w:start w:val="1"/>
      <w:numFmt w:val="bullet"/>
      <w:lvlText w:val="•"/>
      <w:lvlJc w:val="left"/>
      <w:pPr>
        <w:tabs>
          <w:tab w:val="num" w:pos="2880"/>
        </w:tabs>
        <w:ind w:left="2880" w:hanging="360"/>
      </w:pPr>
      <w:rPr>
        <w:rFonts w:ascii="Arial" w:hAnsi="Arial" w:hint="default"/>
      </w:rPr>
    </w:lvl>
    <w:lvl w:ilvl="4" w:tplc="A4503C4A" w:tentative="1">
      <w:start w:val="1"/>
      <w:numFmt w:val="bullet"/>
      <w:lvlText w:val="•"/>
      <w:lvlJc w:val="left"/>
      <w:pPr>
        <w:tabs>
          <w:tab w:val="num" w:pos="3600"/>
        </w:tabs>
        <w:ind w:left="3600" w:hanging="360"/>
      </w:pPr>
      <w:rPr>
        <w:rFonts w:ascii="Arial" w:hAnsi="Arial" w:hint="default"/>
      </w:rPr>
    </w:lvl>
    <w:lvl w:ilvl="5" w:tplc="6FB61F02" w:tentative="1">
      <w:start w:val="1"/>
      <w:numFmt w:val="bullet"/>
      <w:lvlText w:val="•"/>
      <w:lvlJc w:val="left"/>
      <w:pPr>
        <w:tabs>
          <w:tab w:val="num" w:pos="4320"/>
        </w:tabs>
        <w:ind w:left="4320" w:hanging="360"/>
      </w:pPr>
      <w:rPr>
        <w:rFonts w:ascii="Arial" w:hAnsi="Arial" w:hint="default"/>
      </w:rPr>
    </w:lvl>
    <w:lvl w:ilvl="6" w:tplc="F92465F8" w:tentative="1">
      <w:start w:val="1"/>
      <w:numFmt w:val="bullet"/>
      <w:lvlText w:val="•"/>
      <w:lvlJc w:val="left"/>
      <w:pPr>
        <w:tabs>
          <w:tab w:val="num" w:pos="5040"/>
        </w:tabs>
        <w:ind w:left="5040" w:hanging="360"/>
      </w:pPr>
      <w:rPr>
        <w:rFonts w:ascii="Arial" w:hAnsi="Arial" w:hint="default"/>
      </w:rPr>
    </w:lvl>
    <w:lvl w:ilvl="7" w:tplc="6ED6A590" w:tentative="1">
      <w:start w:val="1"/>
      <w:numFmt w:val="bullet"/>
      <w:lvlText w:val="•"/>
      <w:lvlJc w:val="left"/>
      <w:pPr>
        <w:tabs>
          <w:tab w:val="num" w:pos="5760"/>
        </w:tabs>
        <w:ind w:left="5760" w:hanging="360"/>
      </w:pPr>
      <w:rPr>
        <w:rFonts w:ascii="Arial" w:hAnsi="Arial" w:hint="default"/>
      </w:rPr>
    </w:lvl>
    <w:lvl w:ilvl="8" w:tplc="081C85E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D476724"/>
    <w:multiLevelType w:val="hybridMultilevel"/>
    <w:tmpl w:val="AB021024"/>
    <w:lvl w:ilvl="0" w:tplc="CB24DC50">
      <w:start w:val="1"/>
      <w:numFmt w:val="bullet"/>
      <w:lvlText w:val="-"/>
      <w:lvlJc w:val="left"/>
      <w:pPr>
        <w:ind w:left="720" w:hanging="360"/>
      </w:pPr>
      <w:rPr>
        <w:rFonts w:ascii="Palatino Linotype" w:eastAsiaTheme="minorHAnsi" w:hAnsi="Palatino Linotype"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D078C7"/>
    <w:multiLevelType w:val="hybridMultilevel"/>
    <w:tmpl w:val="9CF29FF6"/>
    <w:lvl w:ilvl="0" w:tplc="2DAEF5EE">
      <w:start w:val="1"/>
      <w:numFmt w:val="bullet"/>
      <w:lvlText w:val="•"/>
      <w:lvlJc w:val="left"/>
      <w:pPr>
        <w:tabs>
          <w:tab w:val="num" w:pos="720"/>
        </w:tabs>
        <w:ind w:left="720" w:hanging="360"/>
      </w:pPr>
      <w:rPr>
        <w:rFonts w:ascii="Arial" w:hAnsi="Arial" w:hint="default"/>
      </w:rPr>
    </w:lvl>
    <w:lvl w:ilvl="1" w:tplc="5A167348">
      <w:numFmt w:val="bullet"/>
      <w:lvlText w:val="•"/>
      <w:lvlJc w:val="left"/>
      <w:pPr>
        <w:tabs>
          <w:tab w:val="num" w:pos="1440"/>
        </w:tabs>
        <w:ind w:left="1440" w:hanging="360"/>
      </w:pPr>
      <w:rPr>
        <w:rFonts w:ascii="Arial" w:hAnsi="Arial" w:hint="default"/>
      </w:rPr>
    </w:lvl>
    <w:lvl w:ilvl="2" w:tplc="1E74BBB4" w:tentative="1">
      <w:start w:val="1"/>
      <w:numFmt w:val="bullet"/>
      <w:lvlText w:val="•"/>
      <w:lvlJc w:val="left"/>
      <w:pPr>
        <w:tabs>
          <w:tab w:val="num" w:pos="2160"/>
        </w:tabs>
        <w:ind w:left="2160" w:hanging="360"/>
      </w:pPr>
      <w:rPr>
        <w:rFonts w:ascii="Arial" w:hAnsi="Arial" w:hint="default"/>
      </w:rPr>
    </w:lvl>
    <w:lvl w:ilvl="3" w:tplc="6CDA78F6" w:tentative="1">
      <w:start w:val="1"/>
      <w:numFmt w:val="bullet"/>
      <w:lvlText w:val="•"/>
      <w:lvlJc w:val="left"/>
      <w:pPr>
        <w:tabs>
          <w:tab w:val="num" w:pos="2880"/>
        </w:tabs>
        <w:ind w:left="2880" w:hanging="360"/>
      </w:pPr>
      <w:rPr>
        <w:rFonts w:ascii="Arial" w:hAnsi="Arial" w:hint="default"/>
      </w:rPr>
    </w:lvl>
    <w:lvl w:ilvl="4" w:tplc="06F8D72E" w:tentative="1">
      <w:start w:val="1"/>
      <w:numFmt w:val="bullet"/>
      <w:lvlText w:val="•"/>
      <w:lvlJc w:val="left"/>
      <w:pPr>
        <w:tabs>
          <w:tab w:val="num" w:pos="3600"/>
        </w:tabs>
        <w:ind w:left="3600" w:hanging="360"/>
      </w:pPr>
      <w:rPr>
        <w:rFonts w:ascii="Arial" w:hAnsi="Arial" w:hint="default"/>
      </w:rPr>
    </w:lvl>
    <w:lvl w:ilvl="5" w:tplc="94D8C9DC" w:tentative="1">
      <w:start w:val="1"/>
      <w:numFmt w:val="bullet"/>
      <w:lvlText w:val="•"/>
      <w:lvlJc w:val="left"/>
      <w:pPr>
        <w:tabs>
          <w:tab w:val="num" w:pos="4320"/>
        </w:tabs>
        <w:ind w:left="4320" w:hanging="360"/>
      </w:pPr>
      <w:rPr>
        <w:rFonts w:ascii="Arial" w:hAnsi="Arial" w:hint="default"/>
      </w:rPr>
    </w:lvl>
    <w:lvl w:ilvl="6" w:tplc="7A8A9D7C" w:tentative="1">
      <w:start w:val="1"/>
      <w:numFmt w:val="bullet"/>
      <w:lvlText w:val="•"/>
      <w:lvlJc w:val="left"/>
      <w:pPr>
        <w:tabs>
          <w:tab w:val="num" w:pos="5040"/>
        </w:tabs>
        <w:ind w:left="5040" w:hanging="360"/>
      </w:pPr>
      <w:rPr>
        <w:rFonts w:ascii="Arial" w:hAnsi="Arial" w:hint="default"/>
      </w:rPr>
    </w:lvl>
    <w:lvl w:ilvl="7" w:tplc="2CAE74A8" w:tentative="1">
      <w:start w:val="1"/>
      <w:numFmt w:val="bullet"/>
      <w:lvlText w:val="•"/>
      <w:lvlJc w:val="left"/>
      <w:pPr>
        <w:tabs>
          <w:tab w:val="num" w:pos="5760"/>
        </w:tabs>
        <w:ind w:left="5760" w:hanging="360"/>
      </w:pPr>
      <w:rPr>
        <w:rFonts w:ascii="Arial" w:hAnsi="Arial" w:hint="default"/>
      </w:rPr>
    </w:lvl>
    <w:lvl w:ilvl="8" w:tplc="CF8A604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EA23C30"/>
    <w:multiLevelType w:val="hybridMultilevel"/>
    <w:tmpl w:val="8F6C9E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F075D94"/>
    <w:multiLevelType w:val="hybridMultilevel"/>
    <w:tmpl w:val="7B2A60AA"/>
    <w:lvl w:ilvl="0" w:tplc="E4369F3C">
      <w:start w:val="1"/>
      <w:numFmt w:val="bullet"/>
      <w:lvlText w:val="•"/>
      <w:lvlJc w:val="left"/>
      <w:pPr>
        <w:tabs>
          <w:tab w:val="num" w:pos="720"/>
        </w:tabs>
        <w:ind w:left="720" w:hanging="360"/>
      </w:pPr>
      <w:rPr>
        <w:rFonts w:ascii="Arial" w:hAnsi="Arial" w:hint="default"/>
      </w:rPr>
    </w:lvl>
    <w:lvl w:ilvl="1" w:tplc="711803FC" w:tentative="1">
      <w:start w:val="1"/>
      <w:numFmt w:val="bullet"/>
      <w:lvlText w:val="•"/>
      <w:lvlJc w:val="left"/>
      <w:pPr>
        <w:tabs>
          <w:tab w:val="num" w:pos="1440"/>
        </w:tabs>
        <w:ind w:left="1440" w:hanging="360"/>
      </w:pPr>
      <w:rPr>
        <w:rFonts w:ascii="Arial" w:hAnsi="Arial" w:hint="default"/>
      </w:rPr>
    </w:lvl>
    <w:lvl w:ilvl="2" w:tplc="309A1458" w:tentative="1">
      <w:start w:val="1"/>
      <w:numFmt w:val="bullet"/>
      <w:lvlText w:val="•"/>
      <w:lvlJc w:val="left"/>
      <w:pPr>
        <w:tabs>
          <w:tab w:val="num" w:pos="2160"/>
        </w:tabs>
        <w:ind w:left="2160" w:hanging="360"/>
      </w:pPr>
      <w:rPr>
        <w:rFonts w:ascii="Arial" w:hAnsi="Arial" w:hint="default"/>
      </w:rPr>
    </w:lvl>
    <w:lvl w:ilvl="3" w:tplc="F79A6738" w:tentative="1">
      <w:start w:val="1"/>
      <w:numFmt w:val="bullet"/>
      <w:lvlText w:val="•"/>
      <w:lvlJc w:val="left"/>
      <w:pPr>
        <w:tabs>
          <w:tab w:val="num" w:pos="2880"/>
        </w:tabs>
        <w:ind w:left="2880" w:hanging="360"/>
      </w:pPr>
      <w:rPr>
        <w:rFonts w:ascii="Arial" w:hAnsi="Arial" w:hint="default"/>
      </w:rPr>
    </w:lvl>
    <w:lvl w:ilvl="4" w:tplc="3F201B14" w:tentative="1">
      <w:start w:val="1"/>
      <w:numFmt w:val="bullet"/>
      <w:lvlText w:val="•"/>
      <w:lvlJc w:val="left"/>
      <w:pPr>
        <w:tabs>
          <w:tab w:val="num" w:pos="3600"/>
        </w:tabs>
        <w:ind w:left="3600" w:hanging="360"/>
      </w:pPr>
      <w:rPr>
        <w:rFonts w:ascii="Arial" w:hAnsi="Arial" w:hint="default"/>
      </w:rPr>
    </w:lvl>
    <w:lvl w:ilvl="5" w:tplc="0D528870" w:tentative="1">
      <w:start w:val="1"/>
      <w:numFmt w:val="bullet"/>
      <w:lvlText w:val="•"/>
      <w:lvlJc w:val="left"/>
      <w:pPr>
        <w:tabs>
          <w:tab w:val="num" w:pos="4320"/>
        </w:tabs>
        <w:ind w:left="4320" w:hanging="360"/>
      </w:pPr>
      <w:rPr>
        <w:rFonts w:ascii="Arial" w:hAnsi="Arial" w:hint="default"/>
      </w:rPr>
    </w:lvl>
    <w:lvl w:ilvl="6" w:tplc="CD06FD20" w:tentative="1">
      <w:start w:val="1"/>
      <w:numFmt w:val="bullet"/>
      <w:lvlText w:val="•"/>
      <w:lvlJc w:val="left"/>
      <w:pPr>
        <w:tabs>
          <w:tab w:val="num" w:pos="5040"/>
        </w:tabs>
        <w:ind w:left="5040" w:hanging="360"/>
      </w:pPr>
      <w:rPr>
        <w:rFonts w:ascii="Arial" w:hAnsi="Arial" w:hint="default"/>
      </w:rPr>
    </w:lvl>
    <w:lvl w:ilvl="7" w:tplc="431CEAFC" w:tentative="1">
      <w:start w:val="1"/>
      <w:numFmt w:val="bullet"/>
      <w:lvlText w:val="•"/>
      <w:lvlJc w:val="left"/>
      <w:pPr>
        <w:tabs>
          <w:tab w:val="num" w:pos="5760"/>
        </w:tabs>
        <w:ind w:left="5760" w:hanging="360"/>
      </w:pPr>
      <w:rPr>
        <w:rFonts w:ascii="Arial" w:hAnsi="Arial" w:hint="default"/>
      </w:rPr>
    </w:lvl>
    <w:lvl w:ilvl="8" w:tplc="6A7C80F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6941A11"/>
    <w:multiLevelType w:val="hybridMultilevel"/>
    <w:tmpl w:val="5C5A7414"/>
    <w:lvl w:ilvl="0" w:tplc="BD96D7AA">
      <w:start w:val="1"/>
      <w:numFmt w:val="bullet"/>
      <w:lvlText w:val="•"/>
      <w:lvlJc w:val="left"/>
      <w:pPr>
        <w:tabs>
          <w:tab w:val="num" w:pos="720"/>
        </w:tabs>
        <w:ind w:left="720" w:hanging="360"/>
      </w:pPr>
      <w:rPr>
        <w:rFonts w:ascii="Arial" w:hAnsi="Arial" w:hint="default"/>
      </w:rPr>
    </w:lvl>
    <w:lvl w:ilvl="1" w:tplc="445E2612">
      <w:numFmt w:val="bullet"/>
      <w:lvlText w:val="•"/>
      <w:lvlJc w:val="left"/>
      <w:pPr>
        <w:tabs>
          <w:tab w:val="num" w:pos="1440"/>
        </w:tabs>
        <w:ind w:left="1440" w:hanging="360"/>
      </w:pPr>
      <w:rPr>
        <w:rFonts w:ascii="Arial" w:hAnsi="Arial" w:hint="default"/>
      </w:rPr>
    </w:lvl>
    <w:lvl w:ilvl="2" w:tplc="02027FE2" w:tentative="1">
      <w:start w:val="1"/>
      <w:numFmt w:val="bullet"/>
      <w:lvlText w:val="•"/>
      <w:lvlJc w:val="left"/>
      <w:pPr>
        <w:tabs>
          <w:tab w:val="num" w:pos="2160"/>
        </w:tabs>
        <w:ind w:left="2160" w:hanging="360"/>
      </w:pPr>
      <w:rPr>
        <w:rFonts w:ascii="Arial" w:hAnsi="Arial" w:hint="default"/>
      </w:rPr>
    </w:lvl>
    <w:lvl w:ilvl="3" w:tplc="61986F5C" w:tentative="1">
      <w:start w:val="1"/>
      <w:numFmt w:val="bullet"/>
      <w:lvlText w:val="•"/>
      <w:lvlJc w:val="left"/>
      <w:pPr>
        <w:tabs>
          <w:tab w:val="num" w:pos="2880"/>
        </w:tabs>
        <w:ind w:left="2880" w:hanging="360"/>
      </w:pPr>
      <w:rPr>
        <w:rFonts w:ascii="Arial" w:hAnsi="Arial" w:hint="default"/>
      </w:rPr>
    </w:lvl>
    <w:lvl w:ilvl="4" w:tplc="A60EDC96" w:tentative="1">
      <w:start w:val="1"/>
      <w:numFmt w:val="bullet"/>
      <w:lvlText w:val="•"/>
      <w:lvlJc w:val="left"/>
      <w:pPr>
        <w:tabs>
          <w:tab w:val="num" w:pos="3600"/>
        </w:tabs>
        <w:ind w:left="3600" w:hanging="360"/>
      </w:pPr>
      <w:rPr>
        <w:rFonts w:ascii="Arial" w:hAnsi="Arial" w:hint="default"/>
      </w:rPr>
    </w:lvl>
    <w:lvl w:ilvl="5" w:tplc="2A1CD87A" w:tentative="1">
      <w:start w:val="1"/>
      <w:numFmt w:val="bullet"/>
      <w:lvlText w:val="•"/>
      <w:lvlJc w:val="left"/>
      <w:pPr>
        <w:tabs>
          <w:tab w:val="num" w:pos="4320"/>
        </w:tabs>
        <w:ind w:left="4320" w:hanging="360"/>
      </w:pPr>
      <w:rPr>
        <w:rFonts w:ascii="Arial" w:hAnsi="Arial" w:hint="default"/>
      </w:rPr>
    </w:lvl>
    <w:lvl w:ilvl="6" w:tplc="7496FA0E" w:tentative="1">
      <w:start w:val="1"/>
      <w:numFmt w:val="bullet"/>
      <w:lvlText w:val="•"/>
      <w:lvlJc w:val="left"/>
      <w:pPr>
        <w:tabs>
          <w:tab w:val="num" w:pos="5040"/>
        </w:tabs>
        <w:ind w:left="5040" w:hanging="360"/>
      </w:pPr>
      <w:rPr>
        <w:rFonts w:ascii="Arial" w:hAnsi="Arial" w:hint="default"/>
      </w:rPr>
    </w:lvl>
    <w:lvl w:ilvl="7" w:tplc="97D8ACA2" w:tentative="1">
      <w:start w:val="1"/>
      <w:numFmt w:val="bullet"/>
      <w:lvlText w:val="•"/>
      <w:lvlJc w:val="left"/>
      <w:pPr>
        <w:tabs>
          <w:tab w:val="num" w:pos="5760"/>
        </w:tabs>
        <w:ind w:left="5760" w:hanging="360"/>
      </w:pPr>
      <w:rPr>
        <w:rFonts w:ascii="Arial" w:hAnsi="Arial" w:hint="default"/>
      </w:rPr>
    </w:lvl>
    <w:lvl w:ilvl="8" w:tplc="6806430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CB75323"/>
    <w:multiLevelType w:val="hybridMultilevel"/>
    <w:tmpl w:val="5B788E26"/>
    <w:lvl w:ilvl="0" w:tplc="EE166714">
      <w:start w:val="1"/>
      <w:numFmt w:val="bullet"/>
      <w:lvlText w:val="•"/>
      <w:lvlJc w:val="left"/>
      <w:pPr>
        <w:tabs>
          <w:tab w:val="num" w:pos="720"/>
        </w:tabs>
        <w:ind w:left="720" w:hanging="360"/>
      </w:pPr>
      <w:rPr>
        <w:rFonts w:ascii="Arial" w:hAnsi="Arial" w:hint="default"/>
      </w:rPr>
    </w:lvl>
    <w:lvl w:ilvl="1" w:tplc="CA849D7C" w:tentative="1">
      <w:start w:val="1"/>
      <w:numFmt w:val="bullet"/>
      <w:lvlText w:val="•"/>
      <w:lvlJc w:val="left"/>
      <w:pPr>
        <w:tabs>
          <w:tab w:val="num" w:pos="1440"/>
        </w:tabs>
        <w:ind w:left="1440" w:hanging="360"/>
      </w:pPr>
      <w:rPr>
        <w:rFonts w:ascii="Arial" w:hAnsi="Arial" w:hint="default"/>
      </w:rPr>
    </w:lvl>
    <w:lvl w:ilvl="2" w:tplc="1FCE80F4" w:tentative="1">
      <w:start w:val="1"/>
      <w:numFmt w:val="bullet"/>
      <w:lvlText w:val="•"/>
      <w:lvlJc w:val="left"/>
      <w:pPr>
        <w:tabs>
          <w:tab w:val="num" w:pos="2160"/>
        </w:tabs>
        <w:ind w:left="2160" w:hanging="360"/>
      </w:pPr>
      <w:rPr>
        <w:rFonts w:ascii="Arial" w:hAnsi="Arial" w:hint="default"/>
      </w:rPr>
    </w:lvl>
    <w:lvl w:ilvl="3" w:tplc="B240F1A0" w:tentative="1">
      <w:start w:val="1"/>
      <w:numFmt w:val="bullet"/>
      <w:lvlText w:val="•"/>
      <w:lvlJc w:val="left"/>
      <w:pPr>
        <w:tabs>
          <w:tab w:val="num" w:pos="2880"/>
        </w:tabs>
        <w:ind w:left="2880" w:hanging="360"/>
      </w:pPr>
      <w:rPr>
        <w:rFonts w:ascii="Arial" w:hAnsi="Arial" w:hint="default"/>
      </w:rPr>
    </w:lvl>
    <w:lvl w:ilvl="4" w:tplc="2BC0AA1A" w:tentative="1">
      <w:start w:val="1"/>
      <w:numFmt w:val="bullet"/>
      <w:lvlText w:val="•"/>
      <w:lvlJc w:val="left"/>
      <w:pPr>
        <w:tabs>
          <w:tab w:val="num" w:pos="3600"/>
        </w:tabs>
        <w:ind w:left="3600" w:hanging="360"/>
      </w:pPr>
      <w:rPr>
        <w:rFonts w:ascii="Arial" w:hAnsi="Arial" w:hint="default"/>
      </w:rPr>
    </w:lvl>
    <w:lvl w:ilvl="5" w:tplc="4636D7C0" w:tentative="1">
      <w:start w:val="1"/>
      <w:numFmt w:val="bullet"/>
      <w:lvlText w:val="•"/>
      <w:lvlJc w:val="left"/>
      <w:pPr>
        <w:tabs>
          <w:tab w:val="num" w:pos="4320"/>
        </w:tabs>
        <w:ind w:left="4320" w:hanging="360"/>
      </w:pPr>
      <w:rPr>
        <w:rFonts w:ascii="Arial" w:hAnsi="Arial" w:hint="default"/>
      </w:rPr>
    </w:lvl>
    <w:lvl w:ilvl="6" w:tplc="991C3B86" w:tentative="1">
      <w:start w:val="1"/>
      <w:numFmt w:val="bullet"/>
      <w:lvlText w:val="•"/>
      <w:lvlJc w:val="left"/>
      <w:pPr>
        <w:tabs>
          <w:tab w:val="num" w:pos="5040"/>
        </w:tabs>
        <w:ind w:left="5040" w:hanging="360"/>
      </w:pPr>
      <w:rPr>
        <w:rFonts w:ascii="Arial" w:hAnsi="Arial" w:hint="default"/>
      </w:rPr>
    </w:lvl>
    <w:lvl w:ilvl="7" w:tplc="D230F172" w:tentative="1">
      <w:start w:val="1"/>
      <w:numFmt w:val="bullet"/>
      <w:lvlText w:val="•"/>
      <w:lvlJc w:val="left"/>
      <w:pPr>
        <w:tabs>
          <w:tab w:val="num" w:pos="5760"/>
        </w:tabs>
        <w:ind w:left="5760" w:hanging="360"/>
      </w:pPr>
      <w:rPr>
        <w:rFonts w:ascii="Arial" w:hAnsi="Arial" w:hint="default"/>
      </w:rPr>
    </w:lvl>
    <w:lvl w:ilvl="8" w:tplc="3B8A9F7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54B5BAB"/>
    <w:multiLevelType w:val="hybridMultilevel"/>
    <w:tmpl w:val="7AF22B76"/>
    <w:lvl w:ilvl="0" w:tplc="B2060BF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0F7204D"/>
    <w:multiLevelType w:val="hybridMultilevel"/>
    <w:tmpl w:val="CAF0034E"/>
    <w:lvl w:ilvl="0" w:tplc="07DE16D6">
      <w:start w:val="1"/>
      <w:numFmt w:val="decimal"/>
      <w:lvlText w:val="%1."/>
      <w:lvlJc w:val="left"/>
      <w:pPr>
        <w:tabs>
          <w:tab w:val="num" w:pos="720"/>
        </w:tabs>
        <w:ind w:left="720" w:hanging="360"/>
      </w:pPr>
    </w:lvl>
    <w:lvl w:ilvl="1" w:tplc="947496BE" w:tentative="1">
      <w:start w:val="1"/>
      <w:numFmt w:val="decimal"/>
      <w:lvlText w:val="%2."/>
      <w:lvlJc w:val="left"/>
      <w:pPr>
        <w:tabs>
          <w:tab w:val="num" w:pos="1440"/>
        </w:tabs>
        <w:ind w:left="1440" w:hanging="360"/>
      </w:pPr>
    </w:lvl>
    <w:lvl w:ilvl="2" w:tplc="8A50AEE8" w:tentative="1">
      <w:start w:val="1"/>
      <w:numFmt w:val="decimal"/>
      <w:lvlText w:val="%3."/>
      <w:lvlJc w:val="left"/>
      <w:pPr>
        <w:tabs>
          <w:tab w:val="num" w:pos="2160"/>
        </w:tabs>
        <w:ind w:left="2160" w:hanging="360"/>
      </w:pPr>
    </w:lvl>
    <w:lvl w:ilvl="3" w:tplc="A70C0862" w:tentative="1">
      <w:start w:val="1"/>
      <w:numFmt w:val="decimal"/>
      <w:lvlText w:val="%4."/>
      <w:lvlJc w:val="left"/>
      <w:pPr>
        <w:tabs>
          <w:tab w:val="num" w:pos="2880"/>
        </w:tabs>
        <w:ind w:left="2880" w:hanging="360"/>
      </w:pPr>
    </w:lvl>
    <w:lvl w:ilvl="4" w:tplc="0B0C2F72" w:tentative="1">
      <w:start w:val="1"/>
      <w:numFmt w:val="decimal"/>
      <w:lvlText w:val="%5."/>
      <w:lvlJc w:val="left"/>
      <w:pPr>
        <w:tabs>
          <w:tab w:val="num" w:pos="3600"/>
        </w:tabs>
        <w:ind w:left="3600" w:hanging="360"/>
      </w:pPr>
    </w:lvl>
    <w:lvl w:ilvl="5" w:tplc="6CF21C08" w:tentative="1">
      <w:start w:val="1"/>
      <w:numFmt w:val="decimal"/>
      <w:lvlText w:val="%6."/>
      <w:lvlJc w:val="left"/>
      <w:pPr>
        <w:tabs>
          <w:tab w:val="num" w:pos="4320"/>
        </w:tabs>
        <w:ind w:left="4320" w:hanging="360"/>
      </w:pPr>
    </w:lvl>
    <w:lvl w:ilvl="6" w:tplc="AA74AD5C" w:tentative="1">
      <w:start w:val="1"/>
      <w:numFmt w:val="decimal"/>
      <w:lvlText w:val="%7."/>
      <w:lvlJc w:val="left"/>
      <w:pPr>
        <w:tabs>
          <w:tab w:val="num" w:pos="5040"/>
        </w:tabs>
        <w:ind w:left="5040" w:hanging="360"/>
      </w:pPr>
    </w:lvl>
    <w:lvl w:ilvl="7" w:tplc="4C6E9270" w:tentative="1">
      <w:start w:val="1"/>
      <w:numFmt w:val="decimal"/>
      <w:lvlText w:val="%8."/>
      <w:lvlJc w:val="left"/>
      <w:pPr>
        <w:tabs>
          <w:tab w:val="num" w:pos="5760"/>
        </w:tabs>
        <w:ind w:left="5760" w:hanging="360"/>
      </w:pPr>
    </w:lvl>
    <w:lvl w:ilvl="8" w:tplc="3586E77C" w:tentative="1">
      <w:start w:val="1"/>
      <w:numFmt w:val="decimal"/>
      <w:lvlText w:val="%9."/>
      <w:lvlJc w:val="left"/>
      <w:pPr>
        <w:tabs>
          <w:tab w:val="num" w:pos="6480"/>
        </w:tabs>
        <w:ind w:left="6480" w:hanging="360"/>
      </w:pPr>
    </w:lvl>
  </w:abstractNum>
  <w:abstractNum w:abstractNumId="13" w15:restartNumberingAfterBreak="0">
    <w:nsid w:val="61570847"/>
    <w:multiLevelType w:val="hybridMultilevel"/>
    <w:tmpl w:val="520CF1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8FD76CB"/>
    <w:multiLevelType w:val="hybridMultilevel"/>
    <w:tmpl w:val="4180268C"/>
    <w:lvl w:ilvl="0" w:tplc="51DCC29E">
      <w:start w:val="1"/>
      <w:numFmt w:val="bullet"/>
      <w:lvlText w:val="•"/>
      <w:lvlJc w:val="left"/>
      <w:pPr>
        <w:tabs>
          <w:tab w:val="num" w:pos="720"/>
        </w:tabs>
        <w:ind w:left="720" w:hanging="360"/>
      </w:pPr>
      <w:rPr>
        <w:rFonts w:ascii="Arial" w:hAnsi="Arial" w:hint="default"/>
      </w:rPr>
    </w:lvl>
    <w:lvl w:ilvl="1" w:tplc="9BB4ADFE" w:tentative="1">
      <w:start w:val="1"/>
      <w:numFmt w:val="bullet"/>
      <w:lvlText w:val="•"/>
      <w:lvlJc w:val="left"/>
      <w:pPr>
        <w:tabs>
          <w:tab w:val="num" w:pos="1440"/>
        </w:tabs>
        <w:ind w:left="1440" w:hanging="360"/>
      </w:pPr>
      <w:rPr>
        <w:rFonts w:ascii="Arial" w:hAnsi="Arial" w:hint="default"/>
      </w:rPr>
    </w:lvl>
    <w:lvl w:ilvl="2" w:tplc="95DCBA1C" w:tentative="1">
      <w:start w:val="1"/>
      <w:numFmt w:val="bullet"/>
      <w:lvlText w:val="•"/>
      <w:lvlJc w:val="left"/>
      <w:pPr>
        <w:tabs>
          <w:tab w:val="num" w:pos="2160"/>
        </w:tabs>
        <w:ind w:left="2160" w:hanging="360"/>
      </w:pPr>
      <w:rPr>
        <w:rFonts w:ascii="Arial" w:hAnsi="Arial" w:hint="default"/>
      </w:rPr>
    </w:lvl>
    <w:lvl w:ilvl="3" w:tplc="3E141144" w:tentative="1">
      <w:start w:val="1"/>
      <w:numFmt w:val="bullet"/>
      <w:lvlText w:val="•"/>
      <w:lvlJc w:val="left"/>
      <w:pPr>
        <w:tabs>
          <w:tab w:val="num" w:pos="2880"/>
        </w:tabs>
        <w:ind w:left="2880" w:hanging="360"/>
      </w:pPr>
      <w:rPr>
        <w:rFonts w:ascii="Arial" w:hAnsi="Arial" w:hint="default"/>
      </w:rPr>
    </w:lvl>
    <w:lvl w:ilvl="4" w:tplc="C51087EA" w:tentative="1">
      <w:start w:val="1"/>
      <w:numFmt w:val="bullet"/>
      <w:lvlText w:val="•"/>
      <w:lvlJc w:val="left"/>
      <w:pPr>
        <w:tabs>
          <w:tab w:val="num" w:pos="3600"/>
        </w:tabs>
        <w:ind w:left="3600" w:hanging="360"/>
      </w:pPr>
      <w:rPr>
        <w:rFonts w:ascii="Arial" w:hAnsi="Arial" w:hint="default"/>
      </w:rPr>
    </w:lvl>
    <w:lvl w:ilvl="5" w:tplc="8EBC26DC" w:tentative="1">
      <w:start w:val="1"/>
      <w:numFmt w:val="bullet"/>
      <w:lvlText w:val="•"/>
      <w:lvlJc w:val="left"/>
      <w:pPr>
        <w:tabs>
          <w:tab w:val="num" w:pos="4320"/>
        </w:tabs>
        <w:ind w:left="4320" w:hanging="360"/>
      </w:pPr>
      <w:rPr>
        <w:rFonts w:ascii="Arial" w:hAnsi="Arial" w:hint="default"/>
      </w:rPr>
    </w:lvl>
    <w:lvl w:ilvl="6" w:tplc="0CD46994" w:tentative="1">
      <w:start w:val="1"/>
      <w:numFmt w:val="bullet"/>
      <w:lvlText w:val="•"/>
      <w:lvlJc w:val="left"/>
      <w:pPr>
        <w:tabs>
          <w:tab w:val="num" w:pos="5040"/>
        </w:tabs>
        <w:ind w:left="5040" w:hanging="360"/>
      </w:pPr>
      <w:rPr>
        <w:rFonts w:ascii="Arial" w:hAnsi="Arial" w:hint="default"/>
      </w:rPr>
    </w:lvl>
    <w:lvl w:ilvl="7" w:tplc="BF12A14A" w:tentative="1">
      <w:start w:val="1"/>
      <w:numFmt w:val="bullet"/>
      <w:lvlText w:val="•"/>
      <w:lvlJc w:val="left"/>
      <w:pPr>
        <w:tabs>
          <w:tab w:val="num" w:pos="5760"/>
        </w:tabs>
        <w:ind w:left="5760" w:hanging="360"/>
      </w:pPr>
      <w:rPr>
        <w:rFonts w:ascii="Arial" w:hAnsi="Arial" w:hint="default"/>
      </w:rPr>
    </w:lvl>
    <w:lvl w:ilvl="8" w:tplc="45287F9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719F4381"/>
    <w:multiLevelType w:val="hybridMultilevel"/>
    <w:tmpl w:val="A13E66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775B2"/>
    <w:multiLevelType w:val="hybridMultilevel"/>
    <w:tmpl w:val="E5C2FE92"/>
    <w:lvl w:ilvl="0" w:tplc="BB5671E4">
      <w:start w:val="1"/>
      <w:numFmt w:val="bullet"/>
      <w:lvlText w:val="•"/>
      <w:lvlJc w:val="left"/>
      <w:pPr>
        <w:tabs>
          <w:tab w:val="num" w:pos="720"/>
        </w:tabs>
        <w:ind w:left="720" w:hanging="360"/>
      </w:pPr>
      <w:rPr>
        <w:rFonts w:ascii="Arial" w:hAnsi="Arial" w:hint="default"/>
      </w:rPr>
    </w:lvl>
    <w:lvl w:ilvl="1" w:tplc="B3FC6776" w:tentative="1">
      <w:start w:val="1"/>
      <w:numFmt w:val="bullet"/>
      <w:lvlText w:val="•"/>
      <w:lvlJc w:val="left"/>
      <w:pPr>
        <w:tabs>
          <w:tab w:val="num" w:pos="1440"/>
        </w:tabs>
        <w:ind w:left="1440" w:hanging="360"/>
      </w:pPr>
      <w:rPr>
        <w:rFonts w:ascii="Arial" w:hAnsi="Arial" w:hint="default"/>
      </w:rPr>
    </w:lvl>
    <w:lvl w:ilvl="2" w:tplc="7092163E" w:tentative="1">
      <w:start w:val="1"/>
      <w:numFmt w:val="bullet"/>
      <w:lvlText w:val="•"/>
      <w:lvlJc w:val="left"/>
      <w:pPr>
        <w:tabs>
          <w:tab w:val="num" w:pos="2160"/>
        </w:tabs>
        <w:ind w:left="2160" w:hanging="360"/>
      </w:pPr>
      <w:rPr>
        <w:rFonts w:ascii="Arial" w:hAnsi="Arial" w:hint="default"/>
      </w:rPr>
    </w:lvl>
    <w:lvl w:ilvl="3" w:tplc="889899F2" w:tentative="1">
      <w:start w:val="1"/>
      <w:numFmt w:val="bullet"/>
      <w:lvlText w:val="•"/>
      <w:lvlJc w:val="left"/>
      <w:pPr>
        <w:tabs>
          <w:tab w:val="num" w:pos="2880"/>
        </w:tabs>
        <w:ind w:left="2880" w:hanging="360"/>
      </w:pPr>
      <w:rPr>
        <w:rFonts w:ascii="Arial" w:hAnsi="Arial" w:hint="default"/>
      </w:rPr>
    </w:lvl>
    <w:lvl w:ilvl="4" w:tplc="437C6582" w:tentative="1">
      <w:start w:val="1"/>
      <w:numFmt w:val="bullet"/>
      <w:lvlText w:val="•"/>
      <w:lvlJc w:val="left"/>
      <w:pPr>
        <w:tabs>
          <w:tab w:val="num" w:pos="3600"/>
        </w:tabs>
        <w:ind w:left="3600" w:hanging="360"/>
      </w:pPr>
      <w:rPr>
        <w:rFonts w:ascii="Arial" w:hAnsi="Arial" w:hint="default"/>
      </w:rPr>
    </w:lvl>
    <w:lvl w:ilvl="5" w:tplc="971A617C" w:tentative="1">
      <w:start w:val="1"/>
      <w:numFmt w:val="bullet"/>
      <w:lvlText w:val="•"/>
      <w:lvlJc w:val="left"/>
      <w:pPr>
        <w:tabs>
          <w:tab w:val="num" w:pos="4320"/>
        </w:tabs>
        <w:ind w:left="4320" w:hanging="360"/>
      </w:pPr>
      <w:rPr>
        <w:rFonts w:ascii="Arial" w:hAnsi="Arial" w:hint="default"/>
      </w:rPr>
    </w:lvl>
    <w:lvl w:ilvl="6" w:tplc="66CC3AB0" w:tentative="1">
      <w:start w:val="1"/>
      <w:numFmt w:val="bullet"/>
      <w:lvlText w:val="•"/>
      <w:lvlJc w:val="left"/>
      <w:pPr>
        <w:tabs>
          <w:tab w:val="num" w:pos="5040"/>
        </w:tabs>
        <w:ind w:left="5040" w:hanging="360"/>
      </w:pPr>
      <w:rPr>
        <w:rFonts w:ascii="Arial" w:hAnsi="Arial" w:hint="default"/>
      </w:rPr>
    </w:lvl>
    <w:lvl w:ilvl="7" w:tplc="E4F89182" w:tentative="1">
      <w:start w:val="1"/>
      <w:numFmt w:val="bullet"/>
      <w:lvlText w:val="•"/>
      <w:lvlJc w:val="left"/>
      <w:pPr>
        <w:tabs>
          <w:tab w:val="num" w:pos="5760"/>
        </w:tabs>
        <w:ind w:left="5760" w:hanging="360"/>
      </w:pPr>
      <w:rPr>
        <w:rFonts w:ascii="Arial" w:hAnsi="Arial" w:hint="default"/>
      </w:rPr>
    </w:lvl>
    <w:lvl w:ilvl="8" w:tplc="B2CE190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77770C4"/>
    <w:multiLevelType w:val="hybridMultilevel"/>
    <w:tmpl w:val="5ECC1B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8E5D99"/>
    <w:multiLevelType w:val="hybridMultilevel"/>
    <w:tmpl w:val="520CF176"/>
    <w:lvl w:ilvl="0" w:tplc="EBB639A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D370AD0"/>
    <w:multiLevelType w:val="hybridMultilevel"/>
    <w:tmpl w:val="1CE24CF8"/>
    <w:lvl w:ilvl="0" w:tplc="5EEC1902">
      <w:start w:val="1"/>
      <w:numFmt w:val="lowerLetter"/>
      <w:lvlText w:val="%1)"/>
      <w:lvlJc w:val="left"/>
      <w:pPr>
        <w:tabs>
          <w:tab w:val="num" w:pos="720"/>
        </w:tabs>
        <w:ind w:left="720" w:hanging="360"/>
      </w:pPr>
    </w:lvl>
    <w:lvl w:ilvl="1" w:tplc="B04E1896" w:tentative="1">
      <w:start w:val="1"/>
      <w:numFmt w:val="lowerLetter"/>
      <w:lvlText w:val="%2)"/>
      <w:lvlJc w:val="left"/>
      <w:pPr>
        <w:tabs>
          <w:tab w:val="num" w:pos="1440"/>
        </w:tabs>
        <w:ind w:left="1440" w:hanging="360"/>
      </w:pPr>
    </w:lvl>
    <w:lvl w:ilvl="2" w:tplc="953233CA" w:tentative="1">
      <w:start w:val="1"/>
      <w:numFmt w:val="lowerLetter"/>
      <w:lvlText w:val="%3)"/>
      <w:lvlJc w:val="left"/>
      <w:pPr>
        <w:tabs>
          <w:tab w:val="num" w:pos="2160"/>
        </w:tabs>
        <w:ind w:left="2160" w:hanging="360"/>
      </w:pPr>
    </w:lvl>
    <w:lvl w:ilvl="3" w:tplc="2B1634D2" w:tentative="1">
      <w:start w:val="1"/>
      <w:numFmt w:val="lowerLetter"/>
      <w:lvlText w:val="%4)"/>
      <w:lvlJc w:val="left"/>
      <w:pPr>
        <w:tabs>
          <w:tab w:val="num" w:pos="2880"/>
        </w:tabs>
        <w:ind w:left="2880" w:hanging="360"/>
      </w:pPr>
    </w:lvl>
    <w:lvl w:ilvl="4" w:tplc="C5E4607C" w:tentative="1">
      <w:start w:val="1"/>
      <w:numFmt w:val="lowerLetter"/>
      <w:lvlText w:val="%5)"/>
      <w:lvlJc w:val="left"/>
      <w:pPr>
        <w:tabs>
          <w:tab w:val="num" w:pos="3600"/>
        </w:tabs>
        <w:ind w:left="3600" w:hanging="360"/>
      </w:pPr>
    </w:lvl>
    <w:lvl w:ilvl="5" w:tplc="DA4E5AF8" w:tentative="1">
      <w:start w:val="1"/>
      <w:numFmt w:val="lowerLetter"/>
      <w:lvlText w:val="%6)"/>
      <w:lvlJc w:val="left"/>
      <w:pPr>
        <w:tabs>
          <w:tab w:val="num" w:pos="4320"/>
        </w:tabs>
        <w:ind w:left="4320" w:hanging="360"/>
      </w:pPr>
    </w:lvl>
    <w:lvl w:ilvl="6" w:tplc="5F8E476C" w:tentative="1">
      <w:start w:val="1"/>
      <w:numFmt w:val="lowerLetter"/>
      <w:lvlText w:val="%7)"/>
      <w:lvlJc w:val="left"/>
      <w:pPr>
        <w:tabs>
          <w:tab w:val="num" w:pos="5040"/>
        </w:tabs>
        <w:ind w:left="5040" w:hanging="360"/>
      </w:pPr>
    </w:lvl>
    <w:lvl w:ilvl="7" w:tplc="6742EBEC" w:tentative="1">
      <w:start w:val="1"/>
      <w:numFmt w:val="lowerLetter"/>
      <w:lvlText w:val="%8)"/>
      <w:lvlJc w:val="left"/>
      <w:pPr>
        <w:tabs>
          <w:tab w:val="num" w:pos="5760"/>
        </w:tabs>
        <w:ind w:left="5760" w:hanging="360"/>
      </w:pPr>
    </w:lvl>
    <w:lvl w:ilvl="8" w:tplc="7D16549C" w:tentative="1">
      <w:start w:val="1"/>
      <w:numFmt w:val="lowerLetter"/>
      <w:lvlText w:val="%9)"/>
      <w:lvlJc w:val="left"/>
      <w:pPr>
        <w:tabs>
          <w:tab w:val="num" w:pos="6480"/>
        </w:tabs>
        <w:ind w:left="6480" w:hanging="360"/>
      </w:pPr>
    </w:lvl>
  </w:abstractNum>
  <w:num w:numId="1" w16cid:durableId="1623804481">
    <w:abstractNumId w:val="1"/>
  </w:num>
  <w:num w:numId="2" w16cid:durableId="2015261361">
    <w:abstractNumId w:val="17"/>
  </w:num>
  <w:num w:numId="3" w16cid:durableId="935862422">
    <w:abstractNumId w:val="5"/>
  </w:num>
  <w:num w:numId="4" w16cid:durableId="636649308">
    <w:abstractNumId w:val="2"/>
  </w:num>
  <w:num w:numId="5" w16cid:durableId="2075740179">
    <w:abstractNumId w:val="18"/>
  </w:num>
  <w:num w:numId="6" w16cid:durableId="1584680495">
    <w:abstractNumId w:val="8"/>
  </w:num>
  <w:num w:numId="7" w16cid:durableId="885068646">
    <w:abstractNumId w:val="19"/>
  </w:num>
  <w:num w:numId="8" w16cid:durableId="995886162">
    <w:abstractNumId w:val="7"/>
  </w:num>
  <w:num w:numId="9" w16cid:durableId="426729167">
    <w:abstractNumId w:val="12"/>
  </w:num>
  <w:num w:numId="10" w16cid:durableId="1269006070">
    <w:abstractNumId w:val="10"/>
  </w:num>
  <w:num w:numId="11" w16cid:durableId="1257593579">
    <w:abstractNumId w:val="16"/>
  </w:num>
  <w:num w:numId="12" w16cid:durableId="495002480">
    <w:abstractNumId w:val="3"/>
  </w:num>
  <w:num w:numId="13" w16cid:durableId="407994059">
    <w:abstractNumId w:val="9"/>
  </w:num>
  <w:num w:numId="14" w16cid:durableId="919561910">
    <w:abstractNumId w:val="0"/>
  </w:num>
  <w:num w:numId="15" w16cid:durableId="566377572">
    <w:abstractNumId w:val="4"/>
  </w:num>
  <w:num w:numId="16" w16cid:durableId="1387533070">
    <w:abstractNumId w:val="6"/>
  </w:num>
  <w:num w:numId="17" w16cid:durableId="1705475462">
    <w:abstractNumId w:val="14"/>
  </w:num>
  <w:num w:numId="18" w16cid:durableId="5060336">
    <w:abstractNumId w:val="15"/>
  </w:num>
  <w:num w:numId="19" w16cid:durableId="868104571">
    <w:abstractNumId w:val="11"/>
  </w:num>
  <w:num w:numId="20" w16cid:durableId="71154220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BED"/>
    <w:rsid w:val="000074AA"/>
    <w:rsid w:val="000105AE"/>
    <w:rsid w:val="00066CAB"/>
    <w:rsid w:val="00077A50"/>
    <w:rsid w:val="00084D26"/>
    <w:rsid w:val="000A3996"/>
    <w:rsid w:val="000A6398"/>
    <w:rsid w:val="000A6D8F"/>
    <w:rsid w:val="000B4015"/>
    <w:rsid w:val="000C7833"/>
    <w:rsid w:val="000D7A9D"/>
    <w:rsid w:val="000D7FF9"/>
    <w:rsid w:val="00103D3B"/>
    <w:rsid w:val="00113B5C"/>
    <w:rsid w:val="00123286"/>
    <w:rsid w:val="00132BBC"/>
    <w:rsid w:val="001732D3"/>
    <w:rsid w:val="001A7117"/>
    <w:rsid w:val="001D706B"/>
    <w:rsid w:val="00253F99"/>
    <w:rsid w:val="00261C69"/>
    <w:rsid w:val="002722B9"/>
    <w:rsid w:val="00273FC0"/>
    <w:rsid w:val="0027562C"/>
    <w:rsid w:val="002815A5"/>
    <w:rsid w:val="00292D5A"/>
    <w:rsid w:val="002932A0"/>
    <w:rsid w:val="002A7014"/>
    <w:rsid w:val="002B3D4B"/>
    <w:rsid w:val="002D4340"/>
    <w:rsid w:val="002E3156"/>
    <w:rsid w:val="002E4D82"/>
    <w:rsid w:val="002E7752"/>
    <w:rsid w:val="00306B27"/>
    <w:rsid w:val="0031463F"/>
    <w:rsid w:val="00333129"/>
    <w:rsid w:val="00343381"/>
    <w:rsid w:val="0035678B"/>
    <w:rsid w:val="0036545C"/>
    <w:rsid w:val="00381F6A"/>
    <w:rsid w:val="003A017E"/>
    <w:rsid w:val="003C245B"/>
    <w:rsid w:val="003C4812"/>
    <w:rsid w:val="003F2968"/>
    <w:rsid w:val="003F4420"/>
    <w:rsid w:val="00402EA1"/>
    <w:rsid w:val="00413E5A"/>
    <w:rsid w:val="004174F9"/>
    <w:rsid w:val="004506C8"/>
    <w:rsid w:val="0046322E"/>
    <w:rsid w:val="00496D2B"/>
    <w:rsid w:val="004C17E7"/>
    <w:rsid w:val="0050020B"/>
    <w:rsid w:val="00511BED"/>
    <w:rsid w:val="00514E01"/>
    <w:rsid w:val="00525DFF"/>
    <w:rsid w:val="00527B91"/>
    <w:rsid w:val="0054257D"/>
    <w:rsid w:val="00550077"/>
    <w:rsid w:val="00551BDB"/>
    <w:rsid w:val="0055404A"/>
    <w:rsid w:val="005726C9"/>
    <w:rsid w:val="00581BA3"/>
    <w:rsid w:val="00596140"/>
    <w:rsid w:val="005B41D3"/>
    <w:rsid w:val="005B4673"/>
    <w:rsid w:val="005B79F7"/>
    <w:rsid w:val="005C476A"/>
    <w:rsid w:val="005C58D3"/>
    <w:rsid w:val="005D34D4"/>
    <w:rsid w:val="005E0E62"/>
    <w:rsid w:val="005F311C"/>
    <w:rsid w:val="005F759D"/>
    <w:rsid w:val="00603018"/>
    <w:rsid w:val="00624D42"/>
    <w:rsid w:val="00626F28"/>
    <w:rsid w:val="0065618F"/>
    <w:rsid w:val="006577CE"/>
    <w:rsid w:val="00665B3E"/>
    <w:rsid w:val="0067749D"/>
    <w:rsid w:val="00695711"/>
    <w:rsid w:val="006A13FB"/>
    <w:rsid w:val="006B716B"/>
    <w:rsid w:val="006D5B4A"/>
    <w:rsid w:val="006E64FD"/>
    <w:rsid w:val="007000A8"/>
    <w:rsid w:val="00723BF3"/>
    <w:rsid w:val="00737972"/>
    <w:rsid w:val="00751EA8"/>
    <w:rsid w:val="00752F72"/>
    <w:rsid w:val="00755196"/>
    <w:rsid w:val="00762523"/>
    <w:rsid w:val="00777810"/>
    <w:rsid w:val="0078252D"/>
    <w:rsid w:val="007951C4"/>
    <w:rsid w:val="007B374B"/>
    <w:rsid w:val="008012D2"/>
    <w:rsid w:val="008012F9"/>
    <w:rsid w:val="00837675"/>
    <w:rsid w:val="008424B5"/>
    <w:rsid w:val="008432E7"/>
    <w:rsid w:val="00844BD2"/>
    <w:rsid w:val="008547B2"/>
    <w:rsid w:val="008932DE"/>
    <w:rsid w:val="008C2ED4"/>
    <w:rsid w:val="00905012"/>
    <w:rsid w:val="0093159F"/>
    <w:rsid w:val="009445D2"/>
    <w:rsid w:val="00972DE7"/>
    <w:rsid w:val="0097364E"/>
    <w:rsid w:val="009815C7"/>
    <w:rsid w:val="009C16D8"/>
    <w:rsid w:val="009E5118"/>
    <w:rsid w:val="009F1D29"/>
    <w:rsid w:val="00A01CB8"/>
    <w:rsid w:val="00A2552D"/>
    <w:rsid w:val="00A50D9D"/>
    <w:rsid w:val="00A57E05"/>
    <w:rsid w:val="00A63314"/>
    <w:rsid w:val="00A87932"/>
    <w:rsid w:val="00A92E0F"/>
    <w:rsid w:val="00A93CE7"/>
    <w:rsid w:val="00A94E0E"/>
    <w:rsid w:val="00AB617A"/>
    <w:rsid w:val="00AD7E09"/>
    <w:rsid w:val="00B02D14"/>
    <w:rsid w:val="00B0362E"/>
    <w:rsid w:val="00B1121B"/>
    <w:rsid w:val="00B11667"/>
    <w:rsid w:val="00B231EF"/>
    <w:rsid w:val="00B243AD"/>
    <w:rsid w:val="00B27910"/>
    <w:rsid w:val="00B30230"/>
    <w:rsid w:val="00B30D30"/>
    <w:rsid w:val="00B342CD"/>
    <w:rsid w:val="00B446DA"/>
    <w:rsid w:val="00B93B64"/>
    <w:rsid w:val="00BA0EBD"/>
    <w:rsid w:val="00BB1975"/>
    <w:rsid w:val="00BE0B71"/>
    <w:rsid w:val="00BF23BB"/>
    <w:rsid w:val="00C13E0A"/>
    <w:rsid w:val="00C46092"/>
    <w:rsid w:val="00C51442"/>
    <w:rsid w:val="00C73EAF"/>
    <w:rsid w:val="00C8223B"/>
    <w:rsid w:val="00C941F5"/>
    <w:rsid w:val="00C94F18"/>
    <w:rsid w:val="00CA13A6"/>
    <w:rsid w:val="00CC5C76"/>
    <w:rsid w:val="00CD0477"/>
    <w:rsid w:val="00D04938"/>
    <w:rsid w:val="00D06CE6"/>
    <w:rsid w:val="00D3479C"/>
    <w:rsid w:val="00D36126"/>
    <w:rsid w:val="00D44B3B"/>
    <w:rsid w:val="00D67691"/>
    <w:rsid w:val="00D83FF4"/>
    <w:rsid w:val="00D91BBF"/>
    <w:rsid w:val="00DB0A78"/>
    <w:rsid w:val="00DB3433"/>
    <w:rsid w:val="00DC680F"/>
    <w:rsid w:val="00DE296A"/>
    <w:rsid w:val="00DE7D21"/>
    <w:rsid w:val="00DF19B8"/>
    <w:rsid w:val="00E02421"/>
    <w:rsid w:val="00E05451"/>
    <w:rsid w:val="00E20E04"/>
    <w:rsid w:val="00E2379F"/>
    <w:rsid w:val="00E5348B"/>
    <w:rsid w:val="00E66D24"/>
    <w:rsid w:val="00E96E4C"/>
    <w:rsid w:val="00E97738"/>
    <w:rsid w:val="00EC6149"/>
    <w:rsid w:val="00EE2817"/>
    <w:rsid w:val="00F4630B"/>
    <w:rsid w:val="00F53338"/>
    <w:rsid w:val="00F66D46"/>
    <w:rsid w:val="00F821C6"/>
    <w:rsid w:val="00FA0FEF"/>
    <w:rsid w:val="00FA14C2"/>
    <w:rsid w:val="00FC0DD7"/>
    <w:rsid w:val="00FC2F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4E7FD2"/>
  <w15:chartTrackingRefBased/>
  <w15:docId w15:val="{25199DFD-F0FC-F94E-9A13-3EBE2838B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1B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1B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11B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1B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1B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1BE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1BE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1BE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1BE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B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1B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11B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1B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1B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1B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1B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1B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1BED"/>
    <w:rPr>
      <w:rFonts w:eastAsiaTheme="majorEastAsia" w:cstheme="majorBidi"/>
      <w:color w:val="272727" w:themeColor="text1" w:themeTint="D8"/>
    </w:rPr>
  </w:style>
  <w:style w:type="paragraph" w:styleId="Title">
    <w:name w:val="Title"/>
    <w:basedOn w:val="Normal"/>
    <w:next w:val="Normal"/>
    <w:link w:val="TitleChar"/>
    <w:uiPriority w:val="10"/>
    <w:qFormat/>
    <w:rsid w:val="00511BE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1B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1BE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1B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1BE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1BED"/>
    <w:rPr>
      <w:i/>
      <w:iCs/>
      <w:color w:val="404040" w:themeColor="text1" w:themeTint="BF"/>
    </w:rPr>
  </w:style>
  <w:style w:type="paragraph" w:styleId="ListParagraph">
    <w:name w:val="List Paragraph"/>
    <w:basedOn w:val="Normal"/>
    <w:uiPriority w:val="34"/>
    <w:qFormat/>
    <w:rsid w:val="00511BED"/>
    <w:pPr>
      <w:ind w:left="720"/>
      <w:contextualSpacing/>
    </w:pPr>
  </w:style>
  <w:style w:type="character" w:styleId="IntenseEmphasis">
    <w:name w:val="Intense Emphasis"/>
    <w:basedOn w:val="DefaultParagraphFont"/>
    <w:uiPriority w:val="21"/>
    <w:qFormat/>
    <w:rsid w:val="00511BED"/>
    <w:rPr>
      <w:i/>
      <w:iCs/>
      <w:color w:val="0F4761" w:themeColor="accent1" w:themeShade="BF"/>
    </w:rPr>
  </w:style>
  <w:style w:type="paragraph" w:styleId="IntenseQuote">
    <w:name w:val="Intense Quote"/>
    <w:basedOn w:val="Normal"/>
    <w:next w:val="Normal"/>
    <w:link w:val="IntenseQuoteChar"/>
    <w:uiPriority w:val="30"/>
    <w:qFormat/>
    <w:rsid w:val="00511B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1BED"/>
    <w:rPr>
      <w:i/>
      <w:iCs/>
      <w:color w:val="0F4761" w:themeColor="accent1" w:themeShade="BF"/>
    </w:rPr>
  </w:style>
  <w:style w:type="character" w:styleId="IntenseReference">
    <w:name w:val="Intense Reference"/>
    <w:basedOn w:val="DefaultParagraphFont"/>
    <w:uiPriority w:val="32"/>
    <w:qFormat/>
    <w:rsid w:val="00511BED"/>
    <w:rPr>
      <w:b/>
      <w:bCs/>
      <w:smallCaps/>
      <w:color w:val="0F4761" w:themeColor="accent1" w:themeShade="BF"/>
      <w:spacing w:val="5"/>
    </w:rPr>
  </w:style>
  <w:style w:type="character" w:styleId="Hyperlink">
    <w:name w:val="Hyperlink"/>
    <w:basedOn w:val="DefaultParagraphFont"/>
    <w:uiPriority w:val="99"/>
    <w:unhideWhenUsed/>
    <w:rsid w:val="008432E7"/>
    <w:rPr>
      <w:color w:val="467886" w:themeColor="hyperlink"/>
      <w:u w:val="single"/>
    </w:rPr>
  </w:style>
  <w:style w:type="character" w:styleId="UnresolvedMention">
    <w:name w:val="Unresolved Mention"/>
    <w:basedOn w:val="DefaultParagraphFont"/>
    <w:uiPriority w:val="99"/>
    <w:semiHidden/>
    <w:unhideWhenUsed/>
    <w:rsid w:val="008432E7"/>
    <w:rPr>
      <w:color w:val="605E5C"/>
      <w:shd w:val="clear" w:color="auto" w:fill="E1DFDD"/>
    </w:rPr>
  </w:style>
  <w:style w:type="paragraph" w:styleId="FootnoteText">
    <w:name w:val="footnote text"/>
    <w:basedOn w:val="Normal"/>
    <w:link w:val="FootnoteTextChar"/>
    <w:uiPriority w:val="99"/>
    <w:unhideWhenUsed/>
    <w:rsid w:val="00A94E0E"/>
    <w:rPr>
      <w:sz w:val="20"/>
      <w:szCs w:val="20"/>
    </w:rPr>
  </w:style>
  <w:style w:type="character" w:customStyle="1" w:styleId="FootnoteTextChar">
    <w:name w:val="Footnote Text Char"/>
    <w:basedOn w:val="DefaultParagraphFont"/>
    <w:link w:val="FootnoteText"/>
    <w:uiPriority w:val="99"/>
    <w:rsid w:val="00A94E0E"/>
    <w:rPr>
      <w:sz w:val="20"/>
      <w:szCs w:val="20"/>
    </w:rPr>
  </w:style>
  <w:style w:type="character" w:styleId="FootnoteReference">
    <w:name w:val="footnote reference"/>
    <w:basedOn w:val="DefaultParagraphFont"/>
    <w:uiPriority w:val="99"/>
    <w:semiHidden/>
    <w:unhideWhenUsed/>
    <w:rsid w:val="00A94E0E"/>
    <w:rPr>
      <w:vertAlign w:val="superscript"/>
    </w:rPr>
  </w:style>
  <w:style w:type="paragraph" w:styleId="Footer">
    <w:name w:val="footer"/>
    <w:basedOn w:val="Normal"/>
    <w:link w:val="FooterChar"/>
    <w:uiPriority w:val="99"/>
    <w:unhideWhenUsed/>
    <w:rsid w:val="001732D3"/>
    <w:pPr>
      <w:tabs>
        <w:tab w:val="center" w:pos="4513"/>
        <w:tab w:val="right" w:pos="9026"/>
      </w:tabs>
    </w:pPr>
  </w:style>
  <w:style w:type="character" w:customStyle="1" w:styleId="FooterChar">
    <w:name w:val="Footer Char"/>
    <w:basedOn w:val="DefaultParagraphFont"/>
    <w:link w:val="Footer"/>
    <w:uiPriority w:val="99"/>
    <w:rsid w:val="001732D3"/>
  </w:style>
  <w:style w:type="character" w:styleId="PageNumber">
    <w:name w:val="page number"/>
    <w:basedOn w:val="DefaultParagraphFont"/>
    <w:uiPriority w:val="99"/>
    <w:semiHidden/>
    <w:unhideWhenUsed/>
    <w:rsid w:val="001732D3"/>
  </w:style>
  <w:style w:type="paragraph" w:styleId="NormalWeb">
    <w:name w:val="Normal (Web)"/>
    <w:basedOn w:val="Normal"/>
    <w:uiPriority w:val="99"/>
    <w:semiHidden/>
    <w:unhideWhenUsed/>
    <w:rsid w:val="008547B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8671">
      <w:bodyDiv w:val="1"/>
      <w:marLeft w:val="0"/>
      <w:marRight w:val="0"/>
      <w:marTop w:val="0"/>
      <w:marBottom w:val="0"/>
      <w:divBdr>
        <w:top w:val="none" w:sz="0" w:space="0" w:color="auto"/>
        <w:left w:val="none" w:sz="0" w:space="0" w:color="auto"/>
        <w:bottom w:val="none" w:sz="0" w:space="0" w:color="auto"/>
        <w:right w:val="none" w:sz="0" w:space="0" w:color="auto"/>
      </w:divBdr>
    </w:div>
    <w:div w:id="81731398">
      <w:bodyDiv w:val="1"/>
      <w:marLeft w:val="0"/>
      <w:marRight w:val="0"/>
      <w:marTop w:val="0"/>
      <w:marBottom w:val="0"/>
      <w:divBdr>
        <w:top w:val="none" w:sz="0" w:space="0" w:color="auto"/>
        <w:left w:val="none" w:sz="0" w:space="0" w:color="auto"/>
        <w:bottom w:val="none" w:sz="0" w:space="0" w:color="auto"/>
        <w:right w:val="none" w:sz="0" w:space="0" w:color="auto"/>
      </w:divBdr>
      <w:divsChild>
        <w:div w:id="163934324">
          <w:marLeft w:val="360"/>
          <w:marRight w:val="0"/>
          <w:marTop w:val="200"/>
          <w:marBottom w:val="0"/>
          <w:divBdr>
            <w:top w:val="none" w:sz="0" w:space="0" w:color="auto"/>
            <w:left w:val="none" w:sz="0" w:space="0" w:color="auto"/>
            <w:bottom w:val="none" w:sz="0" w:space="0" w:color="auto"/>
            <w:right w:val="none" w:sz="0" w:space="0" w:color="auto"/>
          </w:divBdr>
        </w:div>
        <w:div w:id="255944259">
          <w:marLeft w:val="1080"/>
          <w:marRight w:val="0"/>
          <w:marTop w:val="100"/>
          <w:marBottom w:val="0"/>
          <w:divBdr>
            <w:top w:val="none" w:sz="0" w:space="0" w:color="auto"/>
            <w:left w:val="none" w:sz="0" w:space="0" w:color="auto"/>
            <w:bottom w:val="none" w:sz="0" w:space="0" w:color="auto"/>
            <w:right w:val="none" w:sz="0" w:space="0" w:color="auto"/>
          </w:divBdr>
        </w:div>
        <w:div w:id="287665053">
          <w:marLeft w:val="1080"/>
          <w:marRight w:val="0"/>
          <w:marTop w:val="100"/>
          <w:marBottom w:val="0"/>
          <w:divBdr>
            <w:top w:val="none" w:sz="0" w:space="0" w:color="auto"/>
            <w:left w:val="none" w:sz="0" w:space="0" w:color="auto"/>
            <w:bottom w:val="none" w:sz="0" w:space="0" w:color="auto"/>
            <w:right w:val="none" w:sz="0" w:space="0" w:color="auto"/>
          </w:divBdr>
        </w:div>
        <w:div w:id="799693150">
          <w:marLeft w:val="360"/>
          <w:marRight w:val="0"/>
          <w:marTop w:val="200"/>
          <w:marBottom w:val="0"/>
          <w:divBdr>
            <w:top w:val="none" w:sz="0" w:space="0" w:color="auto"/>
            <w:left w:val="none" w:sz="0" w:space="0" w:color="auto"/>
            <w:bottom w:val="none" w:sz="0" w:space="0" w:color="auto"/>
            <w:right w:val="none" w:sz="0" w:space="0" w:color="auto"/>
          </w:divBdr>
        </w:div>
        <w:div w:id="897279025">
          <w:marLeft w:val="360"/>
          <w:marRight w:val="0"/>
          <w:marTop w:val="200"/>
          <w:marBottom w:val="0"/>
          <w:divBdr>
            <w:top w:val="none" w:sz="0" w:space="0" w:color="auto"/>
            <w:left w:val="none" w:sz="0" w:space="0" w:color="auto"/>
            <w:bottom w:val="none" w:sz="0" w:space="0" w:color="auto"/>
            <w:right w:val="none" w:sz="0" w:space="0" w:color="auto"/>
          </w:divBdr>
        </w:div>
        <w:div w:id="1135878071">
          <w:marLeft w:val="1080"/>
          <w:marRight w:val="0"/>
          <w:marTop w:val="100"/>
          <w:marBottom w:val="0"/>
          <w:divBdr>
            <w:top w:val="none" w:sz="0" w:space="0" w:color="auto"/>
            <w:left w:val="none" w:sz="0" w:space="0" w:color="auto"/>
            <w:bottom w:val="none" w:sz="0" w:space="0" w:color="auto"/>
            <w:right w:val="none" w:sz="0" w:space="0" w:color="auto"/>
          </w:divBdr>
        </w:div>
        <w:div w:id="1732000941">
          <w:marLeft w:val="1080"/>
          <w:marRight w:val="0"/>
          <w:marTop w:val="100"/>
          <w:marBottom w:val="0"/>
          <w:divBdr>
            <w:top w:val="none" w:sz="0" w:space="0" w:color="auto"/>
            <w:left w:val="none" w:sz="0" w:space="0" w:color="auto"/>
            <w:bottom w:val="none" w:sz="0" w:space="0" w:color="auto"/>
            <w:right w:val="none" w:sz="0" w:space="0" w:color="auto"/>
          </w:divBdr>
        </w:div>
      </w:divsChild>
    </w:div>
    <w:div w:id="229266814">
      <w:bodyDiv w:val="1"/>
      <w:marLeft w:val="0"/>
      <w:marRight w:val="0"/>
      <w:marTop w:val="0"/>
      <w:marBottom w:val="0"/>
      <w:divBdr>
        <w:top w:val="none" w:sz="0" w:space="0" w:color="auto"/>
        <w:left w:val="none" w:sz="0" w:space="0" w:color="auto"/>
        <w:bottom w:val="none" w:sz="0" w:space="0" w:color="auto"/>
        <w:right w:val="none" w:sz="0" w:space="0" w:color="auto"/>
      </w:divBdr>
      <w:divsChild>
        <w:div w:id="1229609614">
          <w:marLeft w:val="0"/>
          <w:marRight w:val="0"/>
          <w:marTop w:val="0"/>
          <w:marBottom w:val="0"/>
          <w:divBdr>
            <w:top w:val="none" w:sz="0" w:space="0" w:color="auto"/>
            <w:left w:val="none" w:sz="0" w:space="0" w:color="auto"/>
            <w:bottom w:val="none" w:sz="0" w:space="0" w:color="auto"/>
            <w:right w:val="none" w:sz="0" w:space="0" w:color="auto"/>
          </w:divBdr>
        </w:div>
      </w:divsChild>
    </w:div>
    <w:div w:id="328025965">
      <w:bodyDiv w:val="1"/>
      <w:marLeft w:val="0"/>
      <w:marRight w:val="0"/>
      <w:marTop w:val="0"/>
      <w:marBottom w:val="0"/>
      <w:divBdr>
        <w:top w:val="none" w:sz="0" w:space="0" w:color="auto"/>
        <w:left w:val="none" w:sz="0" w:space="0" w:color="auto"/>
        <w:bottom w:val="none" w:sz="0" w:space="0" w:color="auto"/>
        <w:right w:val="none" w:sz="0" w:space="0" w:color="auto"/>
      </w:divBdr>
      <w:divsChild>
        <w:div w:id="227107574">
          <w:marLeft w:val="0"/>
          <w:marRight w:val="0"/>
          <w:marTop w:val="0"/>
          <w:marBottom w:val="0"/>
          <w:divBdr>
            <w:top w:val="none" w:sz="0" w:space="0" w:color="auto"/>
            <w:left w:val="none" w:sz="0" w:space="0" w:color="auto"/>
            <w:bottom w:val="none" w:sz="0" w:space="0" w:color="auto"/>
            <w:right w:val="none" w:sz="0" w:space="0" w:color="auto"/>
          </w:divBdr>
          <w:divsChild>
            <w:div w:id="1612975015">
              <w:marLeft w:val="0"/>
              <w:marRight w:val="0"/>
              <w:marTop w:val="0"/>
              <w:marBottom w:val="0"/>
              <w:divBdr>
                <w:top w:val="none" w:sz="0" w:space="0" w:color="auto"/>
                <w:left w:val="none" w:sz="0" w:space="0" w:color="auto"/>
                <w:bottom w:val="none" w:sz="0" w:space="0" w:color="auto"/>
                <w:right w:val="none" w:sz="0" w:space="0" w:color="auto"/>
              </w:divBdr>
              <w:divsChild>
                <w:div w:id="94877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912817">
      <w:bodyDiv w:val="1"/>
      <w:marLeft w:val="0"/>
      <w:marRight w:val="0"/>
      <w:marTop w:val="0"/>
      <w:marBottom w:val="0"/>
      <w:divBdr>
        <w:top w:val="none" w:sz="0" w:space="0" w:color="auto"/>
        <w:left w:val="none" w:sz="0" w:space="0" w:color="auto"/>
        <w:bottom w:val="none" w:sz="0" w:space="0" w:color="auto"/>
        <w:right w:val="none" w:sz="0" w:space="0" w:color="auto"/>
      </w:divBdr>
    </w:div>
    <w:div w:id="550074734">
      <w:bodyDiv w:val="1"/>
      <w:marLeft w:val="0"/>
      <w:marRight w:val="0"/>
      <w:marTop w:val="0"/>
      <w:marBottom w:val="0"/>
      <w:divBdr>
        <w:top w:val="none" w:sz="0" w:space="0" w:color="auto"/>
        <w:left w:val="none" w:sz="0" w:space="0" w:color="auto"/>
        <w:bottom w:val="none" w:sz="0" w:space="0" w:color="auto"/>
        <w:right w:val="none" w:sz="0" w:space="0" w:color="auto"/>
      </w:divBdr>
      <w:divsChild>
        <w:div w:id="453868627">
          <w:marLeft w:val="1080"/>
          <w:marRight w:val="0"/>
          <w:marTop w:val="100"/>
          <w:marBottom w:val="0"/>
          <w:divBdr>
            <w:top w:val="none" w:sz="0" w:space="0" w:color="auto"/>
            <w:left w:val="none" w:sz="0" w:space="0" w:color="auto"/>
            <w:bottom w:val="none" w:sz="0" w:space="0" w:color="auto"/>
            <w:right w:val="none" w:sz="0" w:space="0" w:color="auto"/>
          </w:divBdr>
        </w:div>
        <w:div w:id="905145136">
          <w:marLeft w:val="1080"/>
          <w:marRight w:val="0"/>
          <w:marTop w:val="100"/>
          <w:marBottom w:val="0"/>
          <w:divBdr>
            <w:top w:val="none" w:sz="0" w:space="0" w:color="auto"/>
            <w:left w:val="none" w:sz="0" w:space="0" w:color="auto"/>
            <w:bottom w:val="none" w:sz="0" w:space="0" w:color="auto"/>
            <w:right w:val="none" w:sz="0" w:space="0" w:color="auto"/>
          </w:divBdr>
        </w:div>
        <w:div w:id="1269773916">
          <w:marLeft w:val="360"/>
          <w:marRight w:val="0"/>
          <w:marTop w:val="200"/>
          <w:marBottom w:val="0"/>
          <w:divBdr>
            <w:top w:val="none" w:sz="0" w:space="0" w:color="auto"/>
            <w:left w:val="none" w:sz="0" w:space="0" w:color="auto"/>
            <w:bottom w:val="none" w:sz="0" w:space="0" w:color="auto"/>
            <w:right w:val="none" w:sz="0" w:space="0" w:color="auto"/>
          </w:divBdr>
        </w:div>
        <w:div w:id="1569999786">
          <w:marLeft w:val="360"/>
          <w:marRight w:val="0"/>
          <w:marTop w:val="200"/>
          <w:marBottom w:val="0"/>
          <w:divBdr>
            <w:top w:val="none" w:sz="0" w:space="0" w:color="auto"/>
            <w:left w:val="none" w:sz="0" w:space="0" w:color="auto"/>
            <w:bottom w:val="none" w:sz="0" w:space="0" w:color="auto"/>
            <w:right w:val="none" w:sz="0" w:space="0" w:color="auto"/>
          </w:divBdr>
        </w:div>
        <w:div w:id="1573656069">
          <w:marLeft w:val="1080"/>
          <w:marRight w:val="0"/>
          <w:marTop w:val="100"/>
          <w:marBottom w:val="0"/>
          <w:divBdr>
            <w:top w:val="none" w:sz="0" w:space="0" w:color="auto"/>
            <w:left w:val="none" w:sz="0" w:space="0" w:color="auto"/>
            <w:bottom w:val="none" w:sz="0" w:space="0" w:color="auto"/>
            <w:right w:val="none" w:sz="0" w:space="0" w:color="auto"/>
          </w:divBdr>
        </w:div>
        <w:div w:id="1718814166">
          <w:marLeft w:val="1080"/>
          <w:marRight w:val="0"/>
          <w:marTop w:val="100"/>
          <w:marBottom w:val="0"/>
          <w:divBdr>
            <w:top w:val="none" w:sz="0" w:space="0" w:color="auto"/>
            <w:left w:val="none" w:sz="0" w:space="0" w:color="auto"/>
            <w:bottom w:val="none" w:sz="0" w:space="0" w:color="auto"/>
            <w:right w:val="none" w:sz="0" w:space="0" w:color="auto"/>
          </w:divBdr>
        </w:div>
        <w:div w:id="1725718354">
          <w:marLeft w:val="360"/>
          <w:marRight w:val="0"/>
          <w:marTop w:val="200"/>
          <w:marBottom w:val="0"/>
          <w:divBdr>
            <w:top w:val="none" w:sz="0" w:space="0" w:color="auto"/>
            <w:left w:val="none" w:sz="0" w:space="0" w:color="auto"/>
            <w:bottom w:val="none" w:sz="0" w:space="0" w:color="auto"/>
            <w:right w:val="none" w:sz="0" w:space="0" w:color="auto"/>
          </w:divBdr>
        </w:div>
        <w:div w:id="1995185492">
          <w:marLeft w:val="360"/>
          <w:marRight w:val="0"/>
          <w:marTop w:val="200"/>
          <w:marBottom w:val="0"/>
          <w:divBdr>
            <w:top w:val="none" w:sz="0" w:space="0" w:color="auto"/>
            <w:left w:val="none" w:sz="0" w:space="0" w:color="auto"/>
            <w:bottom w:val="none" w:sz="0" w:space="0" w:color="auto"/>
            <w:right w:val="none" w:sz="0" w:space="0" w:color="auto"/>
          </w:divBdr>
        </w:div>
      </w:divsChild>
    </w:div>
    <w:div w:id="572012288">
      <w:bodyDiv w:val="1"/>
      <w:marLeft w:val="0"/>
      <w:marRight w:val="0"/>
      <w:marTop w:val="0"/>
      <w:marBottom w:val="0"/>
      <w:divBdr>
        <w:top w:val="none" w:sz="0" w:space="0" w:color="auto"/>
        <w:left w:val="none" w:sz="0" w:space="0" w:color="auto"/>
        <w:bottom w:val="none" w:sz="0" w:space="0" w:color="auto"/>
        <w:right w:val="none" w:sz="0" w:space="0" w:color="auto"/>
      </w:divBdr>
    </w:div>
    <w:div w:id="594679821">
      <w:bodyDiv w:val="1"/>
      <w:marLeft w:val="0"/>
      <w:marRight w:val="0"/>
      <w:marTop w:val="0"/>
      <w:marBottom w:val="0"/>
      <w:divBdr>
        <w:top w:val="none" w:sz="0" w:space="0" w:color="auto"/>
        <w:left w:val="none" w:sz="0" w:space="0" w:color="auto"/>
        <w:bottom w:val="none" w:sz="0" w:space="0" w:color="auto"/>
        <w:right w:val="none" w:sz="0" w:space="0" w:color="auto"/>
      </w:divBdr>
      <w:divsChild>
        <w:div w:id="724790182">
          <w:marLeft w:val="360"/>
          <w:marRight w:val="0"/>
          <w:marTop w:val="200"/>
          <w:marBottom w:val="0"/>
          <w:divBdr>
            <w:top w:val="none" w:sz="0" w:space="0" w:color="auto"/>
            <w:left w:val="none" w:sz="0" w:space="0" w:color="auto"/>
            <w:bottom w:val="none" w:sz="0" w:space="0" w:color="auto"/>
            <w:right w:val="none" w:sz="0" w:space="0" w:color="auto"/>
          </w:divBdr>
        </w:div>
        <w:div w:id="843860356">
          <w:marLeft w:val="360"/>
          <w:marRight w:val="0"/>
          <w:marTop w:val="200"/>
          <w:marBottom w:val="0"/>
          <w:divBdr>
            <w:top w:val="none" w:sz="0" w:space="0" w:color="auto"/>
            <w:left w:val="none" w:sz="0" w:space="0" w:color="auto"/>
            <w:bottom w:val="none" w:sz="0" w:space="0" w:color="auto"/>
            <w:right w:val="none" w:sz="0" w:space="0" w:color="auto"/>
          </w:divBdr>
        </w:div>
        <w:div w:id="1275332980">
          <w:marLeft w:val="360"/>
          <w:marRight w:val="0"/>
          <w:marTop w:val="200"/>
          <w:marBottom w:val="0"/>
          <w:divBdr>
            <w:top w:val="none" w:sz="0" w:space="0" w:color="auto"/>
            <w:left w:val="none" w:sz="0" w:space="0" w:color="auto"/>
            <w:bottom w:val="none" w:sz="0" w:space="0" w:color="auto"/>
            <w:right w:val="none" w:sz="0" w:space="0" w:color="auto"/>
          </w:divBdr>
        </w:div>
        <w:div w:id="1694531091">
          <w:marLeft w:val="360"/>
          <w:marRight w:val="0"/>
          <w:marTop w:val="200"/>
          <w:marBottom w:val="0"/>
          <w:divBdr>
            <w:top w:val="none" w:sz="0" w:space="0" w:color="auto"/>
            <w:left w:val="none" w:sz="0" w:space="0" w:color="auto"/>
            <w:bottom w:val="none" w:sz="0" w:space="0" w:color="auto"/>
            <w:right w:val="none" w:sz="0" w:space="0" w:color="auto"/>
          </w:divBdr>
        </w:div>
        <w:div w:id="1923559803">
          <w:marLeft w:val="360"/>
          <w:marRight w:val="0"/>
          <w:marTop w:val="200"/>
          <w:marBottom w:val="0"/>
          <w:divBdr>
            <w:top w:val="none" w:sz="0" w:space="0" w:color="auto"/>
            <w:left w:val="none" w:sz="0" w:space="0" w:color="auto"/>
            <w:bottom w:val="none" w:sz="0" w:space="0" w:color="auto"/>
            <w:right w:val="none" w:sz="0" w:space="0" w:color="auto"/>
          </w:divBdr>
        </w:div>
        <w:div w:id="2074160186">
          <w:marLeft w:val="360"/>
          <w:marRight w:val="0"/>
          <w:marTop w:val="200"/>
          <w:marBottom w:val="0"/>
          <w:divBdr>
            <w:top w:val="none" w:sz="0" w:space="0" w:color="auto"/>
            <w:left w:val="none" w:sz="0" w:space="0" w:color="auto"/>
            <w:bottom w:val="none" w:sz="0" w:space="0" w:color="auto"/>
            <w:right w:val="none" w:sz="0" w:space="0" w:color="auto"/>
          </w:divBdr>
        </w:div>
      </w:divsChild>
    </w:div>
    <w:div w:id="636955686">
      <w:bodyDiv w:val="1"/>
      <w:marLeft w:val="0"/>
      <w:marRight w:val="0"/>
      <w:marTop w:val="0"/>
      <w:marBottom w:val="0"/>
      <w:divBdr>
        <w:top w:val="none" w:sz="0" w:space="0" w:color="auto"/>
        <w:left w:val="none" w:sz="0" w:space="0" w:color="auto"/>
        <w:bottom w:val="none" w:sz="0" w:space="0" w:color="auto"/>
        <w:right w:val="none" w:sz="0" w:space="0" w:color="auto"/>
      </w:divBdr>
      <w:divsChild>
        <w:div w:id="207298855">
          <w:marLeft w:val="360"/>
          <w:marRight w:val="0"/>
          <w:marTop w:val="200"/>
          <w:marBottom w:val="0"/>
          <w:divBdr>
            <w:top w:val="none" w:sz="0" w:space="0" w:color="auto"/>
            <w:left w:val="none" w:sz="0" w:space="0" w:color="auto"/>
            <w:bottom w:val="none" w:sz="0" w:space="0" w:color="auto"/>
            <w:right w:val="none" w:sz="0" w:space="0" w:color="auto"/>
          </w:divBdr>
        </w:div>
        <w:div w:id="766968556">
          <w:marLeft w:val="360"/>
          <w:marRight w:val="0"/>
          <w:marTop w:val="200"/>
          <w:marBottom w:val="0"/>
          <w:divBdr>
            <w:top w:val="none" w:sz="0" w:space="0" w:color="auto"/>
            <w:left w:val="none" w:sz="0" w:space="0" w:color="auto"/>
            <w:bottom w:val="none" w:sz="0" w:space="0" w:color="auto"/>
            <w:right w:val="none" w:sz="0" w:space="0" w:color="auto"/>
          </w:divBdr>
        </w:div>
        <w:div w:id="1180465605">
          <w:marLeft w:val="360"/>
          <w:marRight w:val="0"/>
          <w:marTop w:val="200"/>
          <w:marBottom w:val="0"/>
          <w:divBdr>
            <w:top w:val="none" w:sz="0" w:space="0" w:color="auto"/>
            <w:left w:val="none" w:sz="0" w:space="0" w:color="auto"/>
            <w:bottom w:val="none" w:sz="0" w:space="0" w:color="auto"/>
            <w:right w:val="none" w:sz="0" w:space="0" w:color="auto"/>
          </w:divBdr>
        </w:div>
        <w:div w:id="1568833339">
          <w:marLeft w:val="360"/>
          <w:marRight w:val="0"/>
          <w:marTop w:val="200"/>
          <w:marBottom w:val="0"/>
          <w:divBdr>
            <w:top w:val="none" w:sz="0" w:space="0" w:color="auto"/>
            <w:left w:val="none" w:sz="0" w:space="0" w:color="auto"/>
            <w:bottom w:val="none" w:sz="0" w:space="0" w:color="auto"/>
            <w:right w:val="none" w:sz="0" w:space="0" w:color="auto"/>
          </w:divBdr>
        </w:div>
      </w:divsChild>
    </w:div>
    <w:div w:id="640157652">
      <w:bodyDiv w:val="1"/>
      <w:marLeft w:val="0"/>
      <w:marRight w:val="0"/>
      <w:marTop w:val="0"/>
      <w:marBottom w:val="0"/>
      <w:divBdr>
        <w:top w:val="none" w:sz="0" w:space="0" w:color="auto"/>
        <w:left w:val="none" w:sz="0" w:space="0" w:color="auto"/>
        <w:bottom w:val="none" w:sz="0" w:space="0" w:color="auto"/>
        <w:right w:val="none" w:sz="0" w:space="0" w:color="auto"/>
      </w:divBdr>
    </w:div>
    <w:div w:id="698970431">
      <w:bodyDiv w:val="1"/>
      <w:marLeft w:val="0"/>
      <w:marRight w:val="0"/>
      <w:marTop w:val="0"/>
      <w:marBottom w:val="0"/>
      <w:divBdr>
        <w:top w:val="none" w:sz="0" w:space="0" w:color="auto"/>
        <w:left w:val="none" w:sz="0" w:space="0" w:color="auto"/>
        <w:bottom w:val="none" w:sz="0" w:space="0" w:color="auto"/>
        <w:right w:val="none" w:sz="0" w:space="0" w:color="auto"/>
      </w:divBdr>
    </w:div>
    <w:div w:id="718821546">
      <w:bodyDiv w:val="1"/>
      <w:marLeft w:val="0"/>
      <w:marRight w:val="0"/>
      <w:marTop w:val="0"/>
      <w:marBottom w:val="0"/>
      <w:divBdr>
        <w:top w:val="none" w:sz="0" w:space="0" w:color="auto"/>
        <w:left w:val="none" w:sz="0" w:space="0" w:color="auto"/>
        <w:bottom w:val="none" w:sz="0" w:space="0" w:color="auto"/>
        <w:right w:val="none" w:sz="0" w:space="0" w:color="auto"/>
      </w:divBdr>
      <w:divsChild>
        <w:div w:id="647245752">
          <w:marLeft w:val="0"/>
          <w:marRight w:val="0"/>
          <w:marTop w:val="0"/>
          <w:marBottom w:val="0"/>
          <w:divBdr>
            <w:top w:val="none" w:sz="0" w:space="0" w:color="auto"/>
            <w:left w:val="none" w:sz="0" w:space="0" w:color="auto"/>
            <w:bottom w:val="none" w:sz="0" w:space="0" w:color="auto"/>
            <w:right w:val="none" w:sz="0" w:space="0" w:color="auto"/>
          </w:divBdr>
          <w:divsChild>
            <w:div w:id="899634320">
              <w:marLeft w:val="0"/>
              <w:marRight w:val="0"/>
              <w:marTop w:val="0"/>
              <w:marBottom w:val="0"/>
              <w:divBdr>
                <w:top w:val="none" w:sz="0" w:space="0" w:color="auto"/>
                <w:left w:val="none" w:sz="0" w:space="0" w:color="auto"/>
                <w:bottom w:val="none" w:sz="0" w:space="0" w:color="auto"/>
                <w:right w:val="none" w:sz="0" w:space="0" w:color="auto"/>
              </w:divBdr>
              <w:divsChild>
                <w:div w:id="118417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564943">
      <w:bodyDiv w:val="1"/>
      <w:marLeft w:val="0"/>
      <w:marRight w:val="0"/>
      <w:marTop w:val="0"/>
      <w:marBottom w:val="0"/>
      <w:divBdr>
        <w:top w:val="none" w:sz="0" w:space="0" w:color="auto"/>
        <w:left w:val="none" w:sz="0" w:space="0" w:color="auto"/>
        <w:bottom w:val="none" w:sz="0" w:space="0" w:color="auto"/>
        <w:right w:val="none" w:sz="0" w:space="0" w:color="auto"/>
      </w:divBdr>
    </w:div>
    <w:div w:id="905260592">
      <w:bodyDiv w:val="1"/>
      <w:marLeft w:val="0"/>
      <w:marRight w:val="0"/>
      <w:marTop w:val="0"/>
      <w:marBottom w:val="0"/>
      <w:divBdr>
        <w:top w:val="none" w:sz="0" w:space="0" w:color="auto"/>
        <w:left w:val="none" w:sz="0" w:space="0" w:color="auto"/>
        <w:bottom w:val="none" w:sz="0" w:space="0" w:color="auto"/>
        <w:right w:val="none" w:sz="0" w:space="0" w:color="auto"/>
      </w:divBdr>
      <w:divsChild>
        <w:div w:id="267128380">
          <w:marLeft w:val="1080"/>
          <w:marRight w:val="0"/>
          <w:marTop w:val="100"/>
          <w:marBottom w:val="0"/>
          <w:divBdr>
            <w:top w:val="none" w:sz="0" w:space="0" w:color="auto"/>
            <w:left w:val="none" w:sz="0" w:space="0" w:color="auto"/>
            <w:bottom w:val="none" w:sz="0" w:space="0" w:color="auto"/>
            <w:right w:val="none" w:sz="0" w:space="0" w:color="auto"/>
          </w:divBdr>
        </w:div>
        <w:div w:id="561599049">
          <w:marLeft w:val="1080"/>
          <w:marRight w:val="0"/>
          <w:marTop w:val="100"/>
          <w:marBottom w:val="0"/>
          <w:divBdr>
            <w:top w:val="none" w:sz="0" w:space="0" w:color="auto"/>
            <w:left w:val="none" w:sz="0" w:space="0" w:color="auto"/>
            <w:bottom w:val="none" w:sz="0" w:space="0" w:color="auto"/>
            <w:right w:val="none" w:sz="0" w:space="0" w:color="auto"/>
          </w:divBdr>
        </w:div>
        <w:div w:id="1329753083">
          <w:marLeft w:val="360"/>
          <w:marRight w:val="0"/>
          <w:marTop w:val="200"/>
          <w:marBottom w:val="0"/>
          <w:divBdr>
            <w:top w:val="none" w:sz="0" w:space="0" w:color="auto"/>
            <w:left w:val="none" w:sz="0" w:space="0" w:color="auto"/>
            <w:bottom w:val="none" w:sz="0" w:space="0" w:color="auto"/>
            <w:right w:val="none" w:sz="0" w:space="0" w:color="auto"/>
          </w:divBdr>
        </w:div>
        <w:div w:id="1382172579">
          <w:marLeft w:val="360"/>
          <w:marRight w:val="0"/>
          <w:marTop w:val="200"/>
          <w:marBottom w:val="0"/>
          <w:divBdr>
            <w:top w:val="none" w:sz="0" w:space="0" w:color="auto"/>
            <w:left w:val="none" w:sz="0" w:space="0" w:color="auto"/>
            <w:bottom w:val="none" w:sz="0" w:space="0" w:color="auto"/>
            <w:right w:val="none" w:sz="0" w:space="0" w:color="auto"/>
          </w:divBdr>
        </w:div>
        <w:div w:id="1555383038">
          <w:marLeft w:val="360"/>
          <w:marRight w:val="0"/>
          <w:marTop w:val="200"/>
          <w:marBottom w:val="0"/>
          <w:divBdr>
            <w:top w:val="none" w:sz="0" w:space="0" w:color="auto"/>
            <w:left w:val="none" w:sz="0" w:space="0" w:color="auto"/>
            <w:bottom w:val="none" w:sz="0" w:space="0" w:color="auto"/>
            <w:right w:val="none" w:sz="0" w:space="0" w:color="auto"/>
          </w:divBdr>
        </w:div>
        <w:div w:id="1882664456">
          <w:marLeft w:val="360"/>
          <w:marRight w:val="0"/>
          <w:marTop w:val="200"/>
          <w:marBottom w:val="0"/>
          <w:divBdr>
            <w:top w:val="none" w:sz="0" w:space="0" w:color="auto"/>
            <w:left w:val="none" w:sz="0" w:space="0" w:color="auto"/>
            <w:bottom w:val="none" w:sz="0" w:space="0" w:color="auto"/>
            <w:right w:val="none" w:sz="0" w:space="0" w:color="auto"/>
          </w:divBdr>
        </w:div>
      </w:divsChild>
    </w:div>
    <w:div w:id="978655846">
      <w:bodyDiv w:val="1"/>
      <w:marLeft w:val="0"/>
      <w:marRight w:val="0"/>
      <w:marTop w:val="0"/>
      <w:marBottom w:val="0"/>
      <w:divBdr>
        <w:top w:val="none" w:sz="0" w:space="0" w:color="auto"/>
        <w:left w:val="none" w:sz="0" w:space="0" w:color="auto"/>
        <w:bottom w:val="none" w:sz="0" w:space="0" w:color="auto"/>
        <w:right w:val="none" w:sz="0" w:space="0" w:color="auto"/>
      </w:divBdr>
    </w:div>
    <w:div w:id="1006707506">
      <w:bodyDiv w:val="1"/>
      <w:marLeft w:val="0"/>
      <w:marRight w:val="0"/>
      <w:marTop w:val="0"/>
      <w:marBottom w:val="0"/>
      <w:divBdr>
        <w:top w:val="none" w:sz="0" w:space="0" w:color="auto"/>
        <w:left w:val="none" w:sz="0" w:space="0" w:color="auto"/>
        <w:bottom w:val="none" w:sz="0" w:space="0" w:color="auto"/>
        <w:right w:val="none" w:sz="0" w:space="0" w:color="auto"/>
      </w:divBdr>
    </w:div>
    <w:div w:id="1015158322">
      <w:bodyDiv w:val="1"/>
      <w:marLeft w:val="0"/>
      <w:marRight w:val="0"/>
      <w:marTop w:val="0"/>
      <w:marBottom w:val="0"/>
      <w:divBdr>
        <w:top w:val="none" w:sz="0" w:space="0" w:color="auto"/>
        <w:left w:val="none" w:sz="0" w:space="0" w:color="auto"/>
        <w:bottom w:val="none" w:sz="0" w:space="0" w:color="auto"/>
        <w:right w:val="none" w:sz="0" w:space="0" w:color="auto"/>
      </w:divBdr>
      <w:divsChild>
        <w:div w:id="322201689">
          <w:marLeft w:val="720"/>
          <w:marRight w:val="0"/>
          <w:marTop w:val="200"/>
          <w:marBottom w:val="0"/>
          <w:divBdr>
            <w:top w:val="none" w:sz="0" w:space="0" w:color="auto"/>
            <w:left w:val="none" w:sz="0" w:space="0" w:color="auto"/>
            <w:bottom w:val="none" w:sz="0" w:space="0" w:color="auto"/>
            <w:right w:val="none" w:sz="0" w:space="0" w:color="auto"/>
          </w:divBdr>
        </w:div>
        <w:div w:id="894126957">
          <w:marLeft w:val="720"/>
          <w:marRight w:val="0"/>
          <w:marTop w:val="200"/>
          <w:marBottom w:val="0"/>
          <w:divBdr>
            <w:top w:val="none" w:sz="0" w:space="0" w:color="auto"/>
            <w:left w:val="none" w:sz="0" w:space="0" w:color="auto"/>
            <w:bottom w:val="none" w:sz="0" w:space="0" w:color="auto"/>
            <w:right w:val="none" w:sz="0" w:space="0" w:color="auto"/>
          </w:divBdr>
        </w:div>
        <w:div w:id="1291782796">
          <w:marLeft w:val="720"/>
          <w:marRight w:val="0"/>
          <w:marTop w:val="200"/>
          <w:marBottom w:val="0"/>
          <w:divBdr>
            <w:top w:val="none" w:sz="0" w:space="0" w:color="auto"/>
            <w:left w:val="none" w:sz="0" w:space="0" w:color="auto"/>
            <w:bottom w:val="none" w:sz="0" w:space="0" w:color="auto"/>
            <w:right w:val="none" w:sz="0" w:space="0" w:color="auto"/>
          </w:divBdr>
        </w:div>
        <w:div w:id="1763643741">
          <w:marLeft w:val="720"/>
          <w:marRight w:val="0"/>
          <w:marTop w:val="200"/>
          <w:marBottom w:val="0"/>
          <w:divBdr>
            <w:top w:val="none" w:sz="0" w:space="0" w:color="auto"/>
            <w:left w:val="none" w:sz="0" w:space="0" w:color="auto"/>
            <w:bottom w:val="none" w:sz="0" w:space="0" w:color="auto"/>
            <w:right w:val="none" w:sz="0" w:space="0" w:color="auto"/>
          </w:divBdr>
        </w:div>
      </w:divsChild>
    </w:div>
    <w:div w:id="1047873945">
      <w:bodyDiv w:val="1"/>
      <w:marLeft w:val="0"/>
      <w:marRight w:val="0"/>
      <w:marTop w:val="0"/>
      <w:marBottom w:val="0"/>
      <w:divBdr>
        <w:top w:val="none" w:sz="0" w:space="0" w:color="auto"/>
        <w:left w:val="none" w:sz="0" w:space="0" w:color="auto"/>
        <w:bottom w:val="none" w:sz="0" w:space="0" w:color="auto"/>
        <w:right w:val="none" w:sz="0" w:space="0" w:color="auto"/>
      </w:divBdr>
      <w:divsChild>
        <w:div w:id="1827744416">
          <w:marLeft w:val="0"/>
          <w:marRight w:val="0"/>
          <w:marTop w:val="0"/>
          <w:marBottom w:val="0"/>
          <w:divBdr>
            <w:top w:val="none" w:sz="0" w:space="0" w:color="auto"/>
            <w:left w:val="none" w:sz="0" w:space="0" w:color="auto"/>
            <w:bottom w:val="none" w:sz="0" w:space="0" w:color="auto"/>
            <w:right w:val="none" w:sz="0" w:space="0" w:color="auto"/>
          </w:divBdr>
          <w:divsChild>
            <w:div w:id="1300380632">
              <w:marLeft w:val="0"/>
              <w:marRight w:val="0"/>
              <w:marTop w:val="0"/>
              <w:marBottom w:val="0"/>
              <w:divBdr>
                <w:top w:val="none" w:sz="0" w:space="0" w:color="auto"/>
                <w:left w:val="none" w:sz="0" w:space="0" w:color="auto"/>
                <w:bottom w:val="none" w:sz="0" w:space="0" w:color="auto"/>
                <w:right w:val="none" w:sz="0" w:space="0" w:color="auto"/>
              </w:divBdr>
              <w:divsChild>
                <w:div w:id="171287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396411">
      <w:bodyDiv w:val="1"/>
      <w:marLeft w:val="0"/>
      <w:marRight w:val="0"/>
      <w:marTop w:val="0"/>
      <w:marBottom w:val="0"/>
      <w:divBdr>
        <w:top w:val="none" w:sz="0" w:space="0" w:color="auto"/>
        <w:left w:val="none" w:sz="0" w:space="0" w:color="auto"/>
        <w:bottom w:val="none" w:sz="0" w:space="0" w:color="auto"/>
        <w:right w:val="none" w:sz="0" w:space="0" w:color="auto"/>
      </w:divBdr>
    </w:div>
    <w:div w:id="1252929422">
      <w:bodyDiv w:val="1"/>
      <w:marLeft w:val="0"/>
      <w:marRight w:val="0"/>
      <w:marTop w:val="0"/>
      <w:marBottom w:val="0"/>
      <w:divBdr>
        <w:top w:val="none" w:sz="0" w:space="0" w:color="auto"/>
        <w:left w:val="none" w:sz="0" w:space="0" w:color="auto"/>
        <w:bottom w:val="none" w:sz="0" w:space="0" w:color="auto"/>
        <w:right w:val="none" w:sz="0" w:space="0" w:color="auto"/>
      </w:divBdr>
      <w:divsChild>
        <w:div w:id="812672893">
          <w:marLeft w:val="0"/>
          <w:marRight w:val="0"/>
          <w:marTop w:val="0"/>
          <w:marBottom w:val="0"/>
          <w:divBdr>
            <w:top w:val="none" w:sz="0" w:space="0" w:color="auto"/>
            <w:left w:val="none" w:sz="0" w:space="0" w:color="auto"/>
            <w:bottom w:val="none" w:sz="0" w:space="0" w:color="auto"/>
            <w:right w:val="none" w:sz="0" w:space="0" w:color="auto"/>
          </w:divBdr>
          <w:divsChild>
            <w:div w:id="1739666537">
              <w:marLeft w:val="0"/>
              <w:marRight w:val="0"/>
              <w:marTop w:val="0"/>
              <w:marBottom w:val="0"/>
              <w:divBdr>
                <w:top w:val="none" w:sz="0" w:space="0" w:color="auto"/>
                <w:left w:val="none" w:sz="0" w:space="0" w:color="auto"/>
                <w:bottom w:val="none" w:sz="0" w:space="0" w:color="auto"/>
                <w:right w:val="none" w:sz="0" w:space="0" w:color="auto"/>
              </w:divBdr>
              <w:divsChild>
                <w:div w:id="16630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124980">
      <w:bodyDiv w:val="1"/>
      <w:marLeft w:val="0"/>
      <w:marRight w:val="0"/>
      <w:marTop w:val="0"/>
      <w:marBottom w:val="0"/>
      <w:divBdr>
        <w:top w:val="none" w:sz="0" w:space="0" w:color="auto"/>
        <w:left w:val="none" w:sz="0" w:space="0" w:color="auto"/>
        <w:bottom w:val="none" w:sz="0" w:space="0" w:color="auto"/>
        <w:right w:val="none" w:sz="0" w:space="0" w:color="auto"/>
      </w:divBdr>
      <w:divsChild>
        <w:div w:id="268394843">
          <w:marLeft w:val="360"/>
          <w:marRight w:val="0"/>
          <w:marTop w:val="200"/>
          <w:marBottom w:val="0"/>
          <w:divBdr>
            <w:top w:val="none" w:sz="0" w:space="0" w:color="auto"/>
            <w:left w:val="none" w:sz="0" w:space="0" w:color="auto"/>
            <w:bottom w:val="none" w:sz="0" w:space="0" w:color="auto"/>
            <w:right w:val="none" w:sz="0" w:space="0" w:color="auto"/>
          </w:divBdr>
        </w:div>
        <w:div w:id="551766512">
          <w:marLeft w:val="360"/>
          <w:marRight w:val="0"/>
          <w:marTop w:val="200"/>
          <w:marBottom w:val="0"/>
          <w:divBdr>
            <w:top w:val="none" w:sz="0" w:space="0" w:color="auto"/>
            <w:left w:val="none" w:sz="0" w:space="0" w:color="auto"/>
            <w:bottom w:val="none" w:sz="0" w:space="0" w:color="auto"/>
            <w:right w:val="none" w:sz="0" w:space="0" w:color="auto"/>
          </w:divBdr>
        </w:div>
        <w:div w:id="602037486">
          <w:marLeft w:val="360"/>
          <w:marRight w:val="0"/>
          <w:marTop w:val="200"/>
          <w:marBottom w:val="0"/>
          <w:divBdr>
            <w:top w:val="none" w:sz="0" w:space="0" w:color="auto"/>
            <w:left w:val="none" w:sz="0" w:space="0" w:color="auto"/>
            <w:bottom w:val="none" w:sz="0" w:space="0" w:color="auto"/>
            <w:right w:val="none" w:sz="0" w:space="0" w:color="auto"/>
          </w:divBdr>
        </w:div>
        <w:div w:id="815731593">
          <w:marLeft w:val="360"/>
          <w:marRight w:val="0"/>
          <w:marTop w:val="200"/>
          <w:marBottom w:val="0"/>
          <w:divBdr>
            <w:top w:val="none" w:sz="0" w:space="0" w:color="auto"/>
            <w:left w:val="none" w:sz="0" w:space="0" w:color="auto"/>
            <w:bottom w:val="none" w:sz="0" w:space="0" w:color="auto"/>
            <w:right w:val="none" w:sz="0" w:space="0" w:color="auto"/>
          </w:divBdr>
        </w:div>
        <w:div w:id="911738805">
          <w:marLeft w:val="360"/>
          <w:marRight w:val="0"/>
          <w:marTop w:val="200"/>
          <w:marBottom w:val="0"/>
          <w:divBdr>
            <w:top w:val="none" w:sz="0" w:space="0" w:color="auto"/>
            <w:left w:val="none" w:sz="0" w:space="0" w:color="auto"/>
            <w:bottom w:val="none" w:sz="0" w:space="0" w:color="auto"/>
            <w:right w:val="none" w:sz="0" w:space="0" w:color="auto"/>
          </w:divBdr>
        </w:div>
        <w:div w:id="972979112">
          <w:marLeft w:val="360"/>
          <w:marRight w:val="0"/>
          <w:marTop w:val="200"/>
          <w:marBottom w:val="0"/>
          <w:divBdr>
            <w:top w:val="none" w:sz="0" w:space="0" w:color="auto"/>
            <w:left w:val="none" w:sz="0" w:space="0" w:color="auto"/>
            <w:bottom w:val="none" w:sz="0" w:space="0" w:color="auto"/>
            <w:right w:val="none" w:sz="0" w:space="0" w:color="auto"/>
          </w:divBdr>
        </w:div>
        <w:div w:id="1889031896">
          <w:marLeft w:val="360"/>
          <w:marRight w:val="0"/>
          <w:marTop w:val="200"/>
          <w:marBottom w:val="0"/>
          <w:divBdr>
            <w:top w:val="none" w:sz="0" w:space="0" w:color="auto"/>
            <w:left w:val="none" w:sz="0" w:space="0" w:color="auto"/>
            <w:bottom w:val="none" w:sz="0" w:space="0" w:color="auto"/>
            <w:right w:val="none" w:sz="0" w:space="0" w:color="auto"/>
          </w:divBdr>
        </w:div>
      </w:divsChild>
    </w:div>
    <w:div w:id="1297951632">
      <w:bodyDiv w:val="1"/>
      <w:marLeft w:val="0"/>
      <w:marRight w:val="0"/>
      <w:marTop w:val="0"/>
      <w:marBottom w:val="0"/>
      <w:divBdr>
        <w:top w:val="none" w:sz="0" w:space="0" w:color="auto"/>
        <w:left w:val="none" w:sz="0" w:space="0" w:color="auto"/>
        <w:bottom w:val="none" w:sz="0" w:space="0" w:color="auto"/>
        <w:right w:val="none" w:sz="0" w:space="0" w:color="auto"/>
      </w:divBdr>
      <w:divsChild>
        <w:div w:id="7830195">
          <w:marLeft w:val="0"/>
          <w:marRight w:val="0"/>
          <w:marTop w:val="0"/>
          <w:marBottom w:val="0"/>
          <w:divBdr>
            <w:top w:val="none" w:sz="0" w:space="0" w:color="auto"/>
            <w:left w:val="none" w:sz="0" w:space="0" w:color="auto"/>
            <w:bottom w:val="none" w:sz="0" w:space="0" w:color="auto"/>
            <w:right w:val="none" w:sz="0" w:space="0" w:color="auto"/>
          </w:divBdr>
          <w:divsChild>
            <w:div w:id="386415984">
              <w:marLeft w:val="0"/>
              <w:marRight w:val="0"/>
              <w:marTop w:val="0"/>
              <w:marBottom w:val="0"/>
              <w:divBdr>
                <w:top w:val="none" w:sz="0" w:space="0" w:color="auto"/>
                <w:left w:val="none" w:sz="0" w:space="0" w:color="auto"/>
                <w:bottom w:val="none" w:sz="0" w:space="0" w:color="auto"/>
                <w:right w:val="none" w:sz="0" w:space="0" w:color="auto"/>
              </w:divBdr>
              <w:divsChild>
                <w:div w:id="113583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819860">
      <w:bodyDiv w:val="1"/>
      <w:marLeft w:val="0"/>
      <w:marRight w:val="0"/>
      <w:marTop w:val="0"/>
      <w:marBottom w:val="0"/>
      <w:divBdr>
        <w:top w:val="none" w:sz="0" w:space="0" w:color="auto"/>
        <w:left w:val="none" w:sz="0" w:space="0" w:color="auto"/>
        <w:bottom w:val="none" w:sz="0" w:space="0" w:color="auto"/>
        <w:right w:val="none" w:sz="0" w:space="0" w:color="auto"/>
      </w:divBdr>
      <w:divsChild>
        <w:div w:id="49966974">
          <w:marLeft w:val="0"/>
          <w:marRight w:val="0"/>
          <w:marTop w:val="0"/>
          <w:marBottom w:val="0"/>
          <w:divBdr>
            <w:top w:val="none" w:sz="0" w:space="0" w:color="auto"/>
            <w:left w:val="none" w:sz="0" w:space="0" w:color="auto"/>
            <w:bottom w:val="none" w:sz="0" w:space="0" w:color="auto"/>
            <w:right w:val="none" w:sz="0" w:space="0" w:color="auto"/>
          </w:divBdr>
          <w:divsChild>
            <w:div w:id="1748265161">
              <w:marLeft w:val="0"/>
              <w:marRight w:val="0"/>
              <w:marTop w:val="0"/>
              <w:marBottom w:val="0"/>
              <w:divBdr>
                <w:top w:val="none" w:sz="0" w:space="0" w:color="auto"/>
                <w:left w:val="none" w:sz="0" w:space="0" w:color="auto"/>
                <w:bottom w:val="none" w:sz="0" w:space="0" w:color="auto"/>
                <w:right w:val="none" w:sz="0" w:space="0" w:color="auto"/>
              </w:divBdr>
              <w:divsChild>
                <w:div w:id="6591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76048">
      <w:bodyDiv w:val="1"/>
      <w:marLeft w:val="0"/>
      <w:marRight w:val="0"/>
      <w:marTop w:val="0"/>
      <w:marBottom w:val="0"/>
      <w:divBdr>
        <w:top w:val="none" w:sz="0" w:space="0" w:color="auto"/>
        <w:left w:val="none" w:sz="0" w:space="0" w:color="auto"/>
        <w:bottom w:val="none" w:sz="0" w:space="0" w:color="auto"/>
        <w:right w:val="none" w:sz="0" w:space="0" w:color="auto"/>
      </w:divBdr>
    </w:div>
    <w:div w:id="1469200423">
      <w:bodyDiv w:val="1"/>
      <w:marLeft w:val="0"/>
      <w:marRight w:val="0"/>
      <w:marTop w:val="0"/>
      <w:marBottom w:val="0"/>
      <w:divBdr>
        <w:top w:val="none" w:sz="0" w:space="0" w:color="auto"/>
        <w:left w:val="none" w:sz="0" w:space="0" w:color="auto"/>
        <w:bottom w:val="none" w:sz="0" w:space="0" w:color="auto"/>
        <w:right w:val="none" w:sz="0" w:space="0" w:color="auto"/>
      </w:divBdr>
      <w:divsChild>
        <w:div w:id="86659083">
          <w:marLeft w:val="360"/>
          <w:marRight w:val="0"/>
          <w:marTop w:val="200"/>
          <w:marBottom w:val="0"/>
          <w:divBdr>
            <w:top w:val="none" w:sz="0" w:space="0" w:color="auto"/>
            <w:left w:val="none" w:sz="0" w:space="0" w:color="auto"/>
            <w:bottom w:val="none" w:sz="0" w:space="0" w:color="auto"/>
            <w:right w:val="none" w:sz="0" w:space="0" w:color="auto"/>
          </w:divBdr>
        </w:div>
        <w:div w:id="107434066">
          <w:marLeft w:val="360"/>
          <w:marRight w:val="0"/>
          <w:marTop w:val="200"/>
          <w:marBottom w:val="0"/>
          <w:divBdr>
            <w:top w:val="none" w:sz="0" w:space="0" w:color="auto"/>
            <w:left w:val="none" w:sz="0" w:space="0" w:color="auto"/>
            <w:bottom w:val="none" w:sz="0" w:space="0" w:color="auto"/>
            <w:right w:val="none" w:sz="0" w:space="0" w:color="auto"/>
          </w:divBdr>
        </w:div>
        <w:div w:id="107505391">
          <w:marLeft w:val="360"/>
          <w:marRight w:val="0"/>
          <w:marTop w:val="200"/>
          <w:marBottom w:val="0"/>
          <w:divBdr>
            <w:top w:val="none" w:sz="0" w:space="0" w:color="auto"/>
            <w:left w:val="none" w:sz="0" w:space="0" w:color="auto"/>
            <w:bottom w:val="none" w:sz="0" w:space="0" w:color="auto"/>
            <w:right w:val="none" w:sz="0" w:space="0" w:color="auto"/>
          </w:divBdr>
        </w:div>
        <w:div w:id="242642715">
          <w:marLeft w:val="360"/>
          <w:marRight w:val="0"/>
          <w:marTop w:val="200"/>
          <w:marBottom w:val="0"/>
          <w:divBdr>
            <w:top w:val="none" w:sz="0" w:space="0" w:color="auto"/>
            <w:left w:val="none" w:sz="0" w:space="0" w:color="auto"/>
            <w:bottom w:val="none" w:sz="0" w:space="0" w:color="auto"/>
            <w:right w:val="none" w:sz="0" w:space="0" w:color="auto"/>
          </w:divBdr>
        </w:div>
        <w:div w:id="1262688653">
          <w:marLeft w:val="360"/>
          <w:marRight w:val="0"/>
          <w:marTop w:val="200"/>
          <w:marBottom w:val="0"/>
          <w:divBdr>
            <w:top w:val="none" w:sz="0" w:space="0" w:color="auto"/>
            <w:left w:val="none" w:sz="0" w:space="0" w:color="auto"/>
            <w:bottom w:val="none" w:sz="0" w:space="0" w:color="auto"/>
            <w:right w:val="none" w:sz="0" w:space="0" w:color="auto"/>
          </w:divBdr>
        </w:div>
        <w:div w:id="1612124103">
          <w:marLeft w:val="360"/>
          <w:marRight w:val="0"/>
          <w:marTop w:val="200"/>
          <w:marBottom w:val="0"/>
          <w:divBdr>
            <w:top w:val="none" w:sz="0" w:space="0" w:color="auto"/>
            <w:left w:val="none" w:sz="0" w:space="0" w:color="auto"/>
            <w:bottom w:val="none" w:sz="0" w:space="0" w:color="auto"/>
            <w:right w:val="none" w:sz="0" w:space="0" w:color="auto"/>
          </w:divBdr>
        </w:div>
        <w:div w:id="1670788627">
          <w:marLeft w:val="360"/>
          <w:marRight w:val="0"/>
          <w:marTop w:val="200"/>
          <w:marBottom w:val="0"/>
          <w:divBdr>
            <w:top w:val="none" w:sz="0" w:space="0" w:color="auto"/>
            <w:left w:val="none" w:sz="0" w:space="0" w:color="auto"/>
            <w:bottom w:val="none" w:sz="0" w:space="0" w:color="auto"/>
            <w:right w:val="none" w:sz="0" w:space="0" w:color="auto"/>
          </w:divBdr>
        </w:div>
      </w:divsChild>
    </w:div>
    <w:div w:id="1555656273">
      <w:bodyDiv w:val="1"/>
      <w:marLeft w:val="0"/>
      <w:marRight w:val="0"/>
      <w:marTop w:val="0"/>
      <w:marBottom w:val="0"/>
      <w:divBdr>
        <w:top w:val="none" w:sz="0" w:space="0" w:color="auto"/>
        <w:left w:val="none" w:sz="0" w:space="0" w:color="auto"/>
        <w:bottom w:val="none" w:sz="0" w:space="0" w:color="auto"/>
        <w:right w:val="none" w:sz="0" w:space="0" w:color="auto"/>
      </w:divBdr>
    </w:div>
    <w:div w:id="1570268896">
      <w:bodyDiv w:val="1"/>
      <w:marLeft w:val="0"/>
      <w:marRight w:val="0"/>
      <w:marTop w:val="0"/>
      <w:marBottom w:val="0"/>
      <w:divBdr>
        <w:top w:val="none" w:sz="0" w:space="0" w:color="auto"/>
        <w:left w:val="none" w:sz="0" w:space="0" w:color="auto"/>
        <w:bottom w:val="none" w:sz="0" w:space="0" w:color="auto"/>
        <w:right w:val="none" w:sz="0" w:space="0" w:color="auto"/>
      </w:divBdr>
    </w:div>
    <w:div w:id="1629585133">
      <w:bodyDiv w:val="1"/>
      <w:marLeft w:val="0"/>
      <w:marRight w:val="0"/>
      <w:marTop w:val="0"/>
      <w:marBottom w:val="0"/>
      <w:divBdr>
        <w:top w:val="none" w:sz="0" w:space="0" w:color="auto"/>
        <w:left w:val="none" w:sz="0" w:space="0" w:color="auto"/>
        <w:bottom w:val="none" w:sz="0" w:space="0" w:color="auto"/>
        <w:right w:val="none" w:sz="0" w:space="0" w:color="auto"/>
      </w:divBdr>
      <w:divsChild>
        <w:div w:id="524175124">
          <w:marLeft w:val="360"/>
          <w:marRight w:val="0"/>
          <w:marTop w:val="200"/>
          <w:marBottom w:val="0"/>
          <w:divBdr>
            <w:top w:val="none" w:sz="0" w:space="0" w:color="auto"/>
            <w:left w:val="none" w:sz="0" w:space="0" w:color="auto"/>
            <w:bottom w:val="none" w:sz="0" w:space="0" w:color="auto"/>
            <w:right w:val="none" w:sz="0" w:space="0" w:color="auto"/>
          </w:divBdr>
        </w:div>
        <w:div w:id="1140613233">
          <w:marLeft w:val="360"/>
          <w:marRight w:val="0"/>
          <w:marTop w:val="200"/>
          <w:marBottom w:val="0"/>
          <w:divBdr>
            <w:top w:val="none" w:sz="0" w:space="0" w:color="auto"/>
            <w:left w:val="none" w:sz="0" w:space="0" w:color="auto"/>
            <w:bottom w:val="none" w:sz="0" w:space="0" w:color="auto"/>
            <w:right w:val="none" w:sz="0" w:space="0" w:color="auto"/>
          </w:divBdr>
        </w:div>
        <w:div w:id="1271473886">
          <w:marLeft w:val="360"/>
          <w:marRight w:val="0"/>
          <w:marTop w:val="200"/>
          <w:marBottom w:val="0"/>
          <w:divBdr>
            <w:top w:val="none" w:sz="0" w:space="0" w:color="auto"/>
            <w:left w:val="none" w:sz="0" w:space="0" w:color="auto"/>
            <w:bottom w:val="none" w:sz="0" w:space="0" w:color="auto"/>
            <w:right w:val="none" w:sz="0" w:space="0" w:color="auto"/>
          </w:divBdr>
        </w:div>
        <w:div w:id="1331063886">
          <w:marLeft w:val="360"/>
          <w:marRight w:val="0"/>
          <w:marTop w:val="200"/>
          <w:marBottom w:val="0"/>
          <w:divBdr>
            <w:top w:val="none" w:sz="0" w:space="0" w:color="auto"/>
            <w:left w:val="none" w:sz="0" w:space="0" w:color="auto"/>
            <w:bottom w:val="none" w:sz="0" w:space="0" w:color="auto"/>
            <w:right w:val="none" w:sz="0" w:space="0" w:color="auto"/>
          </w:divBdr>
        </w:div>
      </w:divsChild>
    </w:div>
    <w:div w:id="1694070303">
      <w:bodyDiv w:val="1"/>
      <w:marLeft w:val="0"/>
      <w:marRight w:val="0"/>
      <w:marTop w:val="0"/>
      <w:marBottom w:val="0"/>
      <w:divBdr>
        <w:top w:val="none" w:sz="0" w:space="0" w:color="auto"/>
        <w:left w:val="none" w:sz="0" w:space="0" w:color="auto"/>
        <w:bottom w:val="none" w:sz="0" w:space="0" w:color="auto"/>
        <w:right w:val="none" w:sz="0" w:space="0" w:color="auto"/>
      </w:divBdr>
      <w:divsChild>
        <w:div w:id="321468422">
          <w:marLeft w:val="360"/>
          <w:marRight w:val="0"/>
          <w:marTop w:val="200"/>
          <w:marBottom w:val="0"/>
          <w:divBdr>
            <w:top w:val="none" w:sz="0" w:space="0" w:color="auto"/>
            <w:left w:val="none" w:sz="0" w:space="0" w:color="auto"/>
            <w:bottom w:val="none" w:sz="0" w:space="0" w:color="auto"/>
            <w:right w:val="none" w:sz="0" w:space="0" w:color="auto"/>
          </w:divBdr>
        </w:div>
        <w:div w:id="1098067217">
          <w:marLeft w:val="806"/>
          <w:marRight w:val="0"/>
          <w:marTop w:val="200"/>
          <w:marBottom w:val="0"/>
          <w:divBdr>
            <w:top w:val="none" w:sz="0" w:space="0" w:color="auto"/>
            <w:left w:val="none" w:sz="0" w:space="0" w:color="auto"/>
            <w:bottom w:val="none" w:sz="0" w:space="0" w:color="auto"/>
            <w:right w:val="none" w:sz="0" w:space="0" w:color="auto"/>
          </w:divBdr>
        </w:div>
        <w:div w:id="1303199348">
          <w:marLeft w:val="360"/>
          <w:marRight w:val="0"/>
          <w:marTop w:val="200"/>
          <w:marBottom w:val="0"/>
          <w:divBdr>
            <w:top w:val="none" w:sz="0" w:space="0" w:color="auto"/>
            <w:left w:val="none" w:sz="0" w:space="0" w:color="auto"/>
            <w:bottom w:val="none" w:sz="0" w:space="0" w:color="auto"/>
            <w:right w:val="none" w:sz="0" w:space="0" w:color="auto"/>
          </w:divBdr>
        </w:div>
        <w:div w:id="1821379891">
          <w:marLeft w:val="806"/>
          <w:marRight w:val="0"/>
          <w:marTop w:val="200"/>
          <w:marBottom w:val="0"/>
          <w:divBdr>
            <w:top w:val="none" w:sz="0" w:space="0" w:color="auto"/>
            <w:left w:val="none" w:sz="0" w:space="0" w:color="auto"/>
            <w:bottom w:val="none" w:sz="0" w:space="0" w:color="auto"/>
            <w:right w:val="none" w:sz="0" w:space="0" w:color="auto"/>
          </w:divBdr>
        </w:div>
      </w:divsChild>
    </w:div>
    <w:div w:id="1867718705">
      <w:bodyDiv w:val="1"/>
      <w:marLeft w:val="0"/>
      <w:marRight w:val="0"/>
      <w:marTop w:val="0"/>
      <w:marBottom w:val="0"/>
      <w:divBdr>
        <w:top w:val="none" w:sz="0" w:space="0" w:color="auto"/>
        <w:left w:val="none" w:sz="0" w:space="0" w:color="auto"/>
        <w:bottom w:val="none" w:sz="0" w:space="0" w:color="auto"/>
        <w:right w:val="none" w:sz="0" w:space="0" w:color="auto"/>
      </w:divBdr>
      <w:divsChild>
        <w:div w:id="1608077200">
          <w:marLeft w:val="0"/>
          <w:marRight w:val="0"/>
          <w:marTop w:val="0"/>
          <w:marBottom w:val="0"/>
          <w:divBdr>
            <w:top w:val="none" w:sz="0" w:space="0" w:color="auto"/>
            <w:left w:val="none" w:sz="0" w:space="0" w:color="auto"/>
            <w:bottom w:val="none" w:sz="0" w:space="0" w:color="auto"/>
            <w:right w:val="none" w:sz="0" w:space="0" w:color="auto"/>
          </w:divBdr>
          <w:divsChild>
            <w:div w:id="528496239">
              <w:marLeft w:val="0"/>
              <w:marRight w:val="0"/>
              <w:marTop w:val="0"/>
              <w:marBottom w:val="0"/>
              <w:divBdr>
                <w:top w:val="none" w:sz="0" w:space="0" w:color="auto"/>
                <w:left w:val="none" w:sz="0" w:space="0" w:color="auto"/>
                <w:bottom w:val="none" w:sz="0" w:space="0" w:color="auto"/>
                <w:right w:val="none" w:sz="0" w:space="0" w:color="auto"/>
              </w:divBdr>
              <w:divsChild>
                <w:div w:id="124788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644006">
      <w:bodyDiv w:val="1"/>
      <w:marLeft w:val="0"/>
      <w:marRight w:val="0"/>
      <w:marTop w:val="0"/>
      <w:marBottom w:val="0"/>
      <w:divBdr>
        <w:top w:val="none" w:sz="0" w:space="0" w:color="auto"/>
        <w:left w:val="none" w:sz="0" w:space="0" w:color="auto"/>
        <w:bottom w:val="none" w:sz="0" w:space="0" w:color="auto"/>
        <w:right w:val="none" w:sz="0" w:space="0" w:color="auto"/>
      </w:divBdr>
    </w:div>
    <w:div w:id="1882864513">
      <w:bodyDiv w:val="1"/>
      <w:marLeft w:val="0"/>
      <w:marRight w:val="0"/>
      <w:marTop w:val="0"/>
      <w:marBottom w:val="0"/>
      <w:divBdr>
        <w:top w:val="none" w:sz="0" w:space="0" w:color="auto"/>
        <w:left w:val="none" w:sz="0" w:space="0" w:color="auto"/>
        <w:bottom w:val="none" w:sz="0" w:space="0" w:color="auto"/>
        <w:right w:val="none" w:sz="0" w:space="0" w:color="auto"/>
      </w:divBdr>
      <w:divsChild>
        <w:div w:id="2073968394">
          <w:marLeft w:val="0"/>
          <w:marRight w:val="0"/>
          <w:marTop w:val="0"/>
          <w:marBottom w:val="0"/>
          <w:divBdr>
            <w:top w:val="none" w:sz="0" w:space="0" w:color="auto"/>
            <w:left w:val="none" w:sz="0" w:space="0" w:color="auto"/>
            <w:bottom w:val="none" w:sz="0" w:space="0" w:color="auto"/>
            <w:right w:val="none" w:sz="0" w:space="0" w:color="auto"/>
          </w:divBdr>
          <w:divsChild>
            <w:div w:id="230383592">
              <w:marLeft w:val="0"/>
              <w:marRight w:val="0"/>
              <w:marTop w:val="0"/>
              <w:marBottom w:val="0"/>
              <w:divBdr>
                <w:top w:val="none" w:sz="0" w:space="0" w:color="auto"/>
                <w:left w:val="none" w:sz="0" w:space="0" w:color="auto"/>
                <w:bottom w:val="none" w:sz="0" w:space="0" w:color="auto"/>
                <w:right w:val="none" w:sz="0" w:space="0" w:color="auto"/>
              </w:divBdr>
              <w:divsChild>
                <w:div w:id="75879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381062">
      <w:bodyDiv w:val="1"/>
      <w:marLeft w:val="0"/>
      <w:marRight w:val="0"/>
      <w:marTop w:val="0"/>
      <w:marBottom w:val="0"/>
      <w:divBdr>
        <w:top w:val="none" w:sz="0" w:space="0" w:color="auto"/>
        <w:left w:val="none" w:sz="0" w:space="0" w:color="auto"/>
        <w:bottom w:val="none" w:sz="0" w:space="0" w:color="auto"/>
        <w:right w:val="none" w:sz="0" w:space="0" w:color="auto"/>
      </w:divBdr>
      <w:divsChild>
        <w:div w:id="256138838">
          <w:marLeft w:val="0"/>
          <w:marRight w:val="0"/>
          <w:marTop w:val="0"/>
          <w:marBottom w:val="0"/>
          <w:divBdr>
            <w:top w:val="none" w:sz="0" w:space="0" w:color="auto"/>
            <w:left w:val="none" w:sz="0" w:space="0" w:color="auto"/>
            <w:bottom w:val="none" w:sz="0" w:space="0" w:color="auto"/>
            <w:right w:val="none" w:sz="0" w:space="0" w:color="auto"/>
          </w:divBdr>
          <w:divsChild>
            <w:div w:id="729110384">
              <w:marLeft w:val="0"/>
              <w:marRight w:val="0"/>
              <w:marTop w:val="0"/>
              <w:marBottom w:val="0"/>
              <w:divBdr>
                <w:top w:val="none" w:sz="0" w:space="0" w:color="auto"/>
                <w:left w:val="none" w:sz="0" w:space="0" w:color="auto"/>
                <w:bottom w:val="none" w:sz="0" w:space="0" w:color="auto"/>
                <w:right w:val="none" w:sz="0" w:space="0" w:color="auto"/>
              </w:divBdr>
              <w:divsChild>
                <w:div w:id="39047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2503">
          <w:marLeft w:val="0"/>
          <w:marRight w:val="0"/>
          <w:marTop w:val="0"/>
          <w:marBottom w:val="0"/>
          <w:divBdr>
            <w:top w:val="none" w:sz="0" w:space="0" w:color="auto"/>
            <w:left w:val="none" w:sz="0" w:space="0" w:color="auto"/>
            <w:bottom w:val="none" w:sz="0" w:space="0" w:color="auto"/>
            <w:right w:val="none" w:sz="0" w:space="0" w:color="auto"/>
          </w:divBdr>
          <w:divsChild>
            <w:div w:id="55706034">
              <w:marLeft w:val="0"/>
              <w:marRight w:val="0"/>
              <w:marTop w:val="0"/>
              <w:marBottom w:val="0"/>
              <w:divBdr>
                <w:top w:val="none" w:sz="0" w:space="0" w:color="auto"/>
                <w:left w:val="none" w:sz="0" w:space="0" w:color="auto"/>
                <w:bottom w:val="none" w:sz="0" w:space="0" w:color="auto"/>
                <w:right w:val="none" w:sz="0" w:space="0" w:color="auto"/>
              </w:divBdr>
              <w:divsChild>
                <w:div w:id="45174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89063">
          <w:marLeft w:val="0"/>
          <w:marRight w:val="0"/>
          <w:marTop w:val="0"/>
          <w:marBottom w:val="0"/>
          <w:divBdr>
            <w:top w:val="none" w:sz="0" w:space="0" w:color="auto"/>
            <w:left w:val="none" w:sz="0" w:space="0" w:color="auto"/>
            <w:bottom w:val="none" w:sz="0" w:space="0" w:color="auto"/>
            <w:right w:val="none" w:sz="0" w:space="0" w:color="auto"/>
          </w:divBdr>
          <w:divsChild>
            <w:div w:id="1029333007">
              <w:marLeft w:val="0"/>
              <w:marRight w:val="0"/>
              <w:marTop w:val="0"/>
              <w:marBottom w:val="0"/>
              <w:divBdr>
                <w:top w:val="none" w:sz="0" w:space="0" w:color="auto"/>
                <w:left w:val="none" w:sz="0" w:space="0" w:color="auto"/>
                <w:bottom w:val="none" w:sz="0" w:space="0" w:color="auto"/>
                <w:right w:val="none" w:sz="0" w:space="0" w:color="auto"/>
              </w:divBdr>
              <w:divsChild>
                <w:div w:id="977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8564">
          <w:marLeft w:val="0"/>
          <w:marRight w:val="0"/>
          <w:marTop w:val="0"/>
          <w:marBottom w:val="0"/>
          <w:divBdr>
            <w:top w:val="none" w:sz="0" w:space="0" w:color="auto"/>
            <w:left w:val="none" w:sz="0" w:space="0" w:color="auto"/>
            <w:bottom w:val="none" w:sz="0" w:space="0" w:color="auto"/>
            <w:right w:val="none" w:sz="0" w:space="0" w:color="auto"/>
          </w:divBdr>
          <w:divsChild>
            <w:div w:id="1518156764">
              <w:marLeft w:val="0"/>
              <w:marRight w:val="0"/>
              <w:marTop w:val="0"/>
              <w:marBottom w:val="0"/>
              <w:divBdr>
                <w:top w:val="none" w:sz="0" w:space="0" w:color="auto"/>
                <w:left w:val="none" w:sz="0" w:space="0" w:color="auto"/>
                <w:bottom w:val="none" w:sz="0" w:space="0" w:color="auto"/>
                <w:right w:val="none" w:sz="0" w:space="0" w:color="auto"/>
              </w:divBdr>
              <w:divsChild>
                <w:div w:id="129043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08601">
          <w:marLeft w:val="0"/>
          <w:marRight w:val="0"/>
          <w:marTop w:val="0"/>
          <w:marBottom w:val="0"/>
          <w:divBdr>
            <w:top w:val="none" w:sz="0" w:space="0" w:color="auto"/>
            <w:left w:val="none" w:sz="0" w:space="0" w:color="auto"/>
            <w:bottom w:val="none" w:sz="0" w:space="0" w:color="auto"/>
            <w:right w:val="none" w:sz="0" w:space="0" w:color="auto"/>
          </w:divBdr>
          <w:divsChild>
            <w:div w:id="465859353">
              <w:marLeft w:val="0"/>
              <w:marRight w:val="0"/>
              <w:marTop w:val="0"/>
              <w:marBottom w:val="0"/>
              <w:divBdr>
                <w:top w:val="none" w:sz="0" w:space="0" w:color="auto"/>
                <w:left w:val="none" w:sz="0" w:space="0" w:color="auto"/>
                <w:bottom w:val="none" w:sz="0" w:space="0" w:color="auto"/>
                <w:right w:val="none" w:sz="0" w:space="0" w:color="auto"/>
              </w:divBdr>
              <w:divsChild>
                <w:div w:id="40508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436038">
          <w:marLeft w:val="0"/>
          <w:marRight w:val="0"/>
          <w:marTop w:val="0"/>
          <w:marBottom w:val="0"/>
          <w:divBdr>
            <w:top w:val="none" w:sz="0" w:space="0" w:color="auto"/>
            <w:left w:val="none" w:sz="0" w:space="0" w:color="auto"/>
            <w:bottom w:val="none" w:sz="0" w:space="0" w:color="auto"/>
            <w:right w:val="none" w:sz="0" w:space="0" w:color="auto"/>
          </w:divBdr>
          <w:divsChild>
            <w:div w:id="985545541">
              <w:marLeft w:val="0"/>
              <w:marRight w:val="0"/>
              <w:marTop w:val="0"/>
              <w:marBottom w:val="0"/>
              <w:divBdr>
                <w:top w:val="none" w:sz="0" w:space="0" w:color="auto"/>
                <w:left w:val="none" w:sz="0" w:space="0" w:color="auto"/>
                <w:bottom w:val="none" w:sz="0" w:space="0" w:color="auto"/>
                <w:right w:val="none" w:sz="0" w:space="0" w:color="auto"/>
              </w:divBdr>
              <w:divsChild>
                <w:div w:id="5427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55246">
          <w:marLeft w:val="0"/>
          <w:marRight w:val="0"/>
          <w:marTop w:val="0"/>
          <w:marBottom w:val="0"/>
          <w:divBdr>
            <w:top w:val="none" w:sz="0" w:space="0" w:color="auto"/>
            <w:left w:val="none" w:sz="0" w:space="0" w:color="auto"/>
            <w:bottom w:val="none" w:sz="0" w:space="0" w:color="auto"/>
            <w:right w:val="none" w:sz="0" w:space="0" w:color="auto"/>
          </w:divBdr>
          <w:divsChild>
            <w:div w:id="96593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18365">
      <w:bodyDiv w:val="1"/>
      <w:marLeft w:val="0"/>
      <w:marRight w:val="0"/>
      <w:marTop w:val="0"/>
      <w:marBottom w:val="0"/>
      <w:divBdr>
        <w:top w:val="none" w:sz="0" w:space="0" w:color="auto"/>
        <w:left w:val="none" w:sz="0" w:space="0" w:color="auto"/>
        <w:bottom w:val="none" w:sz="0" w:space="0" w:color="auto"/>
        <w:right w:val="none" w:sz="0" w:space="0" w:color="auto"/>
      </w:divBdr>
    </w:div>
    <w:div w:id="1920404378">
      <w:bodyDiv w:val="1"/>
      <w:marLeft w:val="0"/>
      <w:marRight w:val="0"/>
      <w:marTop w:val="0"/>
      <w:marBottom w:val="0"/>
      <w:divBdr>
        <w:top w:val="none" w:sz="0" w:space="0" w:color="auto"/>
        <w:left w:val="none" w:sz="0" w:space="0" w:color="auto"/>
        <w:bottom w:val="none" w:sz="0" w:space="0" w:color="auto"/>
        <w:right w:val="none" w:sz="0" w:space="0" w:color="auto"/>
      </w:divBdr>
    </w:div>
    <w:div w:id="1982231500">
      <w:bodyDiv w:val="1"/>
      <w:marLeft w:val="0"/>
      <w:marRight w:val="0"/>
      <w:marTop w:val="0"/>
      <w:marBottom w:val="0"/>
      <w:divBdr>
        <w:top w:val="none" w:sz="0" w:space="0" w:color="auto"/>
        <w:left w:val="none" w:sz="0" w:space="0" w:color="auto"/>
        <w:bottom w:val="none" w:sz="0" w:space="0" w:color="auto"/>
        <w:right w:val="none" w:sz="0" w:space="0" w:color="auto"/>
      </w:divBdr>
      <w:divsChild>
        <w:div w:id="1684821374">
          <w:marLeft w:val="0"/>
          <w:marRight w:val="0"/>
          <w:marTop w:val="0"/>
          <w:marBottom w:val="0"/>
          <w:divBdr>
            <w:top w:val="none" w:sz="0" w:space="0" w:color="auto"/>
            <w:left w:val="none" w:sz="0" w:space="0" w:color="auto"/>
            <w:bottom w:val="none" w:sz="0" w:space="0" w:color="auto"/>
            <w:right w:val="none" w:sz="0" w:space="0" w:color="auto"/>
          </w:divBdr>
          <w:divsChild>
            <w:div w:id="783424923">
              <w:marLeft w:val="0"/>
              <w:marRight w:val="0"/>
              <w:marTop w:val="0"/>
              <w:marBottom w:val="0"/>
              <w:divBdr>
                <w:top w:val="none" w:sz="0" w:space="0" w:color="auto"/>
                <w:left w:val="none" w:sz="0" w:space="0" w:color="auto"/>
                <w:bottom w:val="none" w:sz="0" w:space="0" w:color="auto"/>
                <w:right w:val="none" w:sz="0" w:space="0" w:color="auto"/>
              </w:divBdr>
              <w:divsChild>
                <w:div w:id="392847668">
                  <w:marLeft w:val="0"/>
                  <w:marRight w:val="0"/>
                  <w:marTop w:val="0"/>
                  <w:marBottom w:val="0"/>
                  <w:divBdr>
                    <w:top w:val="none" w:sz="0" w:space="0" w:color="auto"/>
                    <w:left w:val="none" w:sz="0" w:space="0" w:color="auto"/>
                    <w:bottom w:val="none" w:sz="0" w:space="0" w:color="auto"/>
                    <w:right w:val="none" w:sz="0" w:space="0" w:color="auto"/>
                  </w:divBdr>
                  <w:divsChild>
                    <w:div w:id="62161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440799">
      <w:bodyDiv w:val="1"/>
      <w:marLeft w:val="0"/>
      <w:marRight w:val="0"/>
      <w:marTop w:val="0"/>
      <w:marBottom w:val="0"/>
      <w:divBdr>
        <w:top w:val="none" w:sz="0" w:space="0" w:color="auto"/>
        <w:left w:val="none" w:sz="0" w:space="0" w:color="auto"/>
        <w:bottom w:val="none" w:sz="0" w:space="0" w:color="auto"/>
        <w:right w:val="none" w:sz="0" w:space="0" w:color="auto"/>
      </w:divBdr>
      <w:divsChild>
        <w:div w:id="939607312">
          <w:marLeft w:val="0"/>
          <w:marRight w:val="0"/>
          <w:marTop w:val="0"/>
          <w:marBottom w:val="0"/>
          <w:divBdr>
            <w:top w:val="none" w:sz="0" w:space="0" w:color="auto"/>
            <w:left w:val="none" w:sz="0" w:space="0" w:color="auto"/>
            <w:bottom w:val="none" w:sz="0" w:space="0" w:color="auto"/>
            <w:right w:val="none" w:sz="0" w:space="0" w:color="auto"/>
          </w:divBdr>
          <w:divsChild>
            <w:div w:id="791872217">
              <w:marLeft w:val="0"/>
              <w:marRight w:val="0"/>
              <w:marTop w:val="0"/>
              <w:marBottom w:val="0"/>
              <w:divBdr>
                <w:top w:val="none" w:sz="0" w:space="0" w:color="auto"/>
                <w:left w:val="none" w:sz="0" w:space="0" w:color="auto"/>
                <w:bottom w:val="none" w:sz="0" w:space="0" w:color="auto"/>
                <w:right w:val="none" w:sz="0" w:space="0" w:color="auto"/>
              </w:divBdr>
              <w:divsChild>
                <w:div w:id="19964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442863">
          <w:marLeft w:val="0"/>
          <w:marRight w:val="0"/>
          <w:marTop w:val="0"/>
          <w:marBottom w:val="0"/>
          <w:divBdr>
            <w:top w:val="none" w:sz="0" w:space="0" w:color="auto"/>
            <w:left w:val="none" w:sz="0" w:space="0" w:color="auto"/>
            <w:bottom w:val="none" w:sz="0" w:space="0" w:color="auto"/>
            <w:right w:val="none" w:sz="0" w:space="0" w:color="auto"/>
          </w:divBdr>
          <w:divsChild>
            <w:div w:id="453788146">
              <w:marLeft w:val="0"/>
              <w:marRight w:val="0"/>
              <w:marTop w:val="0"/>
              <w:marBottom w:val="0"/>
              <w:divBdr>
                <w:top w:val="none" w:sz="0" w:space="0" w:color="auto"/>
                <w:left w:val="none" w:sz="0" w:space="0" w:color="auto"/>
                <w:bottom w:val="none" w:sz="0" w:space="0" w:color="auto"/>
                <w:right w:val="none" w:sz="0" w:space="0" w:color="auto"/>
              </w:divBdr>
              <w:divsChild>
                <w:div w:id="59343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5197">
          <w:marLeft w:val="0"/>
          <w:marRight w:val="0"/>
          <w:marTop w:val="0"/>
          <w:marBottom w:val="0"/>
          <w:divBdr>
            <w:top w:val="none" w:sz="0" w:space="0" w:color="auto"/>
            <w:left w:val="none" w:sz="0" w:space="0" w:color="auto"/>
            <w:bottom w:val="none" w:sz="0" w:space="0" w:color="auto"/>
            <w:right w:val="none" w:sz="0" w:space="0" w:color="auto"/>
          </w:divBdr>
          <w:divsChild>
            <w:div w:id="87777078">
              <w:marLeft w:val="0"/>
              <w:marRight w:val="0"/>
              <w:marTop w:val="0"/>
              <w:marBottom w:val="0"/>
              <w:divBdr>
                <w:top w:val="none" w:sz="0" w:space="0" w:color="auto"/>
                <w:left w:val="none" w:sz="0" w:space="0" w:color="auto"/>
                <w:bottom w:val="none" w:sz="0" w:space="0" w:color="auto"/>
                <w:right w:val="none" w:sz="0" w:space="0" w:color="auto"/>
              </w:divBdr>
              <w:divsChild>
                <w:div w:id="6856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961222">
          <w:marLeft w:val="0"/>
          <w:marRight w:val="0"/>
          <w:marTop w:val="0"/>
          <w:marBottom w:val="0"/>
          <w:divBdr>
            <w:top w:val="none" w:sz="0" w:space="0" w:color="auto"/>
            <w:left w:val="none" w:sz="0" w:space="0" w:color="auto"/>
            <w:bottom w:val="none" w:sz="0" w:space="0" w:color="auto"/>
            <w:right w:val="none" w:sz="0" w:space="0" w:color="auto"/>
          </w:divBdr>
          <w:divsChild>
            <w:div w:id="562175557">
              <w:marLeft w:val="0"/>
              <w:marRight w:val="0"/>
              <w:marTop w:val="0"/>
              <w:marBottom w:val="0"/>
              <w:divBdr>
                <w:top w:val="none" w:sz="0" w:space="0" w:color="auto"/>
                <w:left w:val="none" w:sz="0" w:space="0" w:color="auto"/>
                <w:bottom w:val="none" w:sz="0" w:space="0" w:color="auto"/>
                <w:right w:val="none" w:sz="0" w:space="0" w:color="auto"/>
              </w:divBdr>
              <w:divsChild>
                <w:div w:id="25980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14527">
          <w:marLeft w:val="0"/>
          <w:marRight w:val="0"/>
          <w:marTop w:val="0"/>
          <w:marBottom w:val="0"/>
          <w:divBdr>
            <w:top w:val="none" w:sz="0" w:space="0" w:color="auto"/>
            <w:left w:val="none" w:sz="0" w:space="0" w:color="auto"/>
            <w:bottom w:val="none" w:sz="0" w:space="0" w:color="auto"/>
            <w:right w:val="none" w:sz="0" w:space="0" w:color="auto"/>
          </w:divBdr>
          <w:divsChild>
            <w:div w:id="1054083621">
              <w:marLeft w:val="0"/>
              <w:marRight w:val="0"/>
              <w:marTop w:val="0"/>
              <w:marBottom w:val="0"/>
              <w:divBdr>
                <w:top w:val="none" w:sz="0" w:space="0" w:color="auto"/>
                <w:left w:val="none" w:sz="0" w:space="0" w:color="auto"/>
                <w:bottom w:val="none" w:sz="0" w:space="0" w:color="auto"/>
                <w:right w:val="none" w:sz="0" w:space="0" w:color="auto"/>
              </w:divBdr>
              <w:divsChild>
                <w:div w:id="162411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956540">
          <w:marLeft w:val="0"/>
          <w:marRight w:val="0"/>
          <w:marTop w:val="0"/>
          <w:marBottom w:val="0"/>
          <w:divBdr>
            <w:top w:val="none" w:sz="0" w:space="0" w:color="auto"/>
            <w:left w:val="none" w:sz="0" w:space="0" w:color="auto"/>
            <w:bottom w:val="none" w:sz="0" w:space="0" w:color="auto"/>
            <w:right w:val="none" w:sz="0" w:space="0" w:color="auto"/>
          </w:divBdr>
          <w:divsChild>
            <w:div w:id="175190674">
              <w:marLeft w:val="0"/>
              <w:marRight w:val="0"/>
              <w:marTop w:val="0"/>
              <w:marBottom w:val="0"/>
              <w:divBdr>
                <w:top w:val="none" w:sz="0" w:space="0" w:color="auto"/>
                <w:left w:val="none" w:sz="0" w:space="0" w:color="auto"/>
                <w:bottom w:val="none" w:sz="0" w:space="0" w:color="auto"/>
                <w:right w:val="none" w:sz="0" w:space="0" w:color="auto"/>
              </w:divBdr>
              <w:divsChild>
                <w:div w:id="120516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9903">
          <w:marLeft w:val="0"/>
          <w:marRight w:val="0"/>
          <w:marTop w:val="0"/>
          <w:marBottom w:val="0"/>
          <w:divBdr>
            <w:top w:val="none" w:sz="0" w:space="0" w:color="auto"/>
            <w:left w:val="none" w:sz="0" w:space="0" w:color="auto"/>
            <w:bottom w:val="none" w:sz="0" w:space="0" w:color="auto"/>
            <w:right w:val="none" w:sz="0" w:space="0" w:color="auto"/>
          </w:divBdr>
          <w:divsChild>
            <w:div w:id="178569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438041">
      <w:bodyDiv w:val="1"/>
      <w:marLeft w:val="0"/>
      <w:marRight w:val="0"/>
      <w:marTop w:val="0"/>
      <w:marBottom w:val="0"/>
      <w:divBdr>
        <w:top w:val="none" w:sz="0" w:space="0" w:color="auto"/>
        <w:left w:val="none" w:sz="0" w:space="0" w:color="auto"/>
        <w:bottom w:val="none" w:sz="0" w:space="0" w:color="auto"/>
        <w:right w:val="none" w:sz="0" w:space="0" w:color="auto"/>
      </w:divBdr>
      <w:divsChild>
        <w:div w:id="132645848">
          <w:marLeft w:val="0"/>
          <w:marRight w:val="0"/>
          <w:marTop w:val="0"/>
          <w:marBottom w:val="0"/>
          <w:divBdr>
            <w:top w:val="none" w:sz="0" w:space="0" w:color="auto"/>
            <w:left w:val="none" w:sz="0" w:space="0" w:color="auto"/>
            <w:bottom w:val="none" w:sz="0" w:space="0" w:color="auto"/>
            <w:right w:val="none" w:sz="0" w:space="0" w:color="auto"/>
          </w:divBdr>
          <w:divsChild>
            <w:div w:id="2010980284">
              <w:marLeft w:val="0"/>
              <w:marRight w:val="0"/>
              <w:marTop w:val="0"/>
              <w:marBottom w:val="0"/>
              <w:divBdr>
                <w:top w:val="none" w:sz="0" w:space="0" w:color="auto"/>
                <w:left w:val="none" w:sz="0" w:space="0" w:color="auto"/>
                <w:bottom w:val="none" w:sz="0" w:space="0" w:color="auto"/>
                <w:right w:val="none" w:sz="0" w:space="0" w:color="auto"/>
              </w:divBdr>
              <w:divsChild>
                <w:div w:id="712463436">
                  <w:marLeft w:val="0"/>
                  <w:marRight w:val="0"/>
                  <w:marTop w:val="0"/>
                  <w:marBottom w:val="0"/>
                  <w:divBdr>
                    <w:top w:val="none" w:sz="0" w:space="0" w:color="auto"/>
                    <w:left w:val="none" w:sz="0" w:space="0" w:color="auto"/>
                    <w:bottom w:val="none" w:sz="0" w:space="0" w:color="auto"/>
                    <w:right w:val="none" w:sz="0" w:space="0" w:color="auto"/>
                  </w:divBdr>
                  <w:divsChild>
                    <w:div w:id="5169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941611">
      <w:bodyDiv w:val="1"/>
      <w:marLeft w:val="0"/>
      <w:marRight w:val="0"/>
      <w:marTop w:val="0"/>
      <w:marBottom w:val="0"/>
      <w:divBdr>
        <w:top w:val="none" w:sz="0" w:space="0" w:color="auto"/>
        <w:left w:val="none" w:sz="0" w:space="0" w:color="auto"/>
        <w:bottom w:val="none" w:sz="0" w:space="0" w:color="auto"/>
        <w:right w:val="none" w:sz="0" w:space="0" w:color="auto"/>
      </w:divBdr>
    </w:div>
    <w:div w:id="2111854324">
      <w:bodyDiv w:val="1"/>
      <w:marLeft w:val="0"/>
      <w:marRight w:val="0"/>
      <w:marTop w:val="0"/>
      <w:marBottom w:val="0"/>
      <w:divBdr>
        <w:top w:val="none" w:sz="0" w:space="0" w:color="auto"/>
        <w:left w:val="none" w:sz="0" w:space="0" w:color="auto"/>
        <w:bottom w:val="none" w:sz="0" w:space="0" w:color="auto"/>
        <w:right w:val="none" w:sz="0" w:space="0" w:color="auto"/>
      </w:divBdr>
      <w:divsChild>
        <w:div w:id="1179537747">
          <w:marLeft w:val="0"/>
          <w:marRight w:val="0"/>
          <w:marTop w:val="0"/>
          <w:marBottom w:val="0"/>
          <w:divBdr>
            <w:top w:val="none" w:sz="0" w:space="0" w:color="auto"/>
            <w:left w:val="none" w:sz="0" w:space="0" w:color="auto"/>
            <w:bottom w:val="none" w:sz="0" w:space="0" w:color="auto"/>
            <w:right w:val="none" w:sz="0" w:space="0" w:color="auto"/>
          </w:divBdr>
        </w:div>
      </w:divsChild>
    </w:div>
    <w:div w:id="211242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competition-policy.ec.europa.eu/system/files/2023-07/state_aid_brief_1_2023_kdam23001enn_TCTF_survey_0.pdf" TargetMode="External"/><Relationship Id="rId2" Type="http://schemas.openxmlformats.org/officeDocument/2006/relationships/hyperlink" Target="https://www.lexxion.eu/stateaidpost/the-first-state-aid-measure-approved-under-cisaf-lots-of-presumptions/" TargetMode="External"/><Relationship Id="rId1" Type="http://schemas.openxmlformats.org/officeDocument/2006/relationships/hyperlink" Target="https://www.politico.eu/article/finland-says-eus-state-subsidy-bonanza-has-gone-too-f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704</TotalTime>
  <Pages>12</Pages>
  <Words>4648</Words>
  <Characters>26496</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Rubini, Luca</dc:creator>
  <cp:keywords/>
  <dc:description/>
  <cp:lastModifiedBy>Rubini, Luca</cp:lastModifiedBy>
  <cp:revision>58</cp:revision>
  <dcterms:created xsi:type="dcterms:W3CDTF">2025-11-05T08:16:00Z</dcterms:created>
  <dcterms:modified xsi:type="dcterms:W3CDTF">2026-04-19T13:21:00Z</dcterms:modified>
</cp:coreProperties>
</file>